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B1252">
      <w:pPr>
        <w:pStyle w:val="3"/>
        <w:rPr>
          <w:color w:val="000000"/>
        </w:rPr>
      </w:pPr>
      <w:r>
        <w:rPr>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both"/>
              <w:rPr>
                <w:color w:val="000000"/>
              </w:rPr>
            </w:pPr>
            <w:r>
              <w:rPr>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EB1252">
            <w:pPr>
              <w:jc w:val="center"/>
              <w:rPr>
                <w:color w:val="000000"/>
              </w:rPr>
            </w:pPr>
            <w:r>
              <w:rPr>
                <w:color w:val="000000"/>
              </w:rPr>
              <w:t>Скрипка Iван Iванович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EB1252">
            <w:pPr>
              <w:jc w:val="center"/>
              <w:rPr>
                <w:color w:val="000000"/>
              </w:rPr>
            </w:pPr>
            <w:r>
              <w:rPr>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30.04.2015</w:t>
            </w:r>
          </w:p>
        </w:tc>
      </w:tr>
      <w:tr w:rsidR="00000000">
        <w:tc>
          <w:tcPr>
            <w:tcW w:w="0" w:type="auto"/>
            <w:gridSpan w:val="4"/>
            <w:vMerge/>
            <w:tcBorders>
              <w:top w:val="nil"/>
              <w:left w:val="nil"/>
              <w:bottom w:val="nil"/>
              <w:right w:val="nil"/>
            </w:tcBorders>
            <w:vAlign w:val="center"/>
            <w:hideMark/>
          </w:tcPr>
          <w:p w:rsidR="00000000" w:rsidRDefault="00EB1252">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(дата)</w:t>
            </w:r>
          </w:p>
        </w:tc>
      </w:tr>
    </w:tbl>
    <w:p w:rsidR="00000000" w:rsidRDefault="00EB1252">
      <w:pPr>
        <w:rPr>
          <w:color w:val="000000"/>
        </w:rPr>
      </w:pPr>
    </w:p>
    <w:p w:rsidR="00000000" w:rsidRDefault="00EB1252">
      <w:pPr>
        <w:pStyle w:val="3"/>
        <w:rPr>
          <w:color w:val="000000"/>
        </w:rPr>
      </w:pPr>
      <w:r>
        <w:rPr>
          <w:color w:val="000000"/>
        </w:rPr>
        <w:t>Річна інформація емітента цінних паперів</w:t>
      </w:r>
      <w:r>
        <w:rPr>
          <w:color w:val="000000"/>
        </w:rPr>
        <w:br/>
        <w:t xml:space="preserve">за 2014 рік </w:t>
      </w:r>
      <w:bookmarkStart w:id="0" w:name="_GoBack"/>
      <w:bookmarkEnd w:id="0"/>
    </w:p>
    <w:p w:rsidR="00000000" w:rsidRDefault="00EB1252">
      <w:pPr>
        <w:pStyle w:val="3"/>
        <w:rPr>
          <w:color w:val="000000"/>
        </w:rPr>
      </w:pPr>
      <w:r>
        <w:rPr>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Хмельницька , Хмельницький, 29004, м. Хмельницький, вул. Шевченка, 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0382-762611 0382-762611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podillya_khm@mail.ru</w:t>
            </w:r>
          </w:p>
        </w:tc>
      </w:tr>
    </w:tbl>
    <w:p w:rsidR="00000000" w:rsidRDefault="00EB1252">
      <w:pPr>
        <w:pStyle w:val="3"/>
        <w:rPr>
          <w:color w:val="000000"/>
        </w:rPr>
      </w:pPr>
      <w:r>
        <w:rPr>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rPr>
                <w:color w:val="000000"/>
              </w:rPr>
            </w:pPr>
            <w:r>
              <w:rPr>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jc w:val="center"/>
              <w:rPr>
                <w:color w:val="000000"/>
              </w:rPr>
            </w:pPr>
            <w:r>
              <w:rPr>
                <w:color w:val="000000"/>
              </w:rPr>
              <w:t>30</w:t>
            </w:r>
            <w:r>
              <w:rPr>
                <w:color w:val="000000"/>
              </w:rPr>
              <w:t>.04.2015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(дата)</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993"/>
        <w:gridCol w:w="5478"/>
        <w:gridCol w:w="192"/>
        <w:gridCol w:w="662"/>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rPr>
                <w:color w:val="000000"/>
              </w:rPr>
            </w:pPr>
            <w:r>
              <w:rPr>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(дата)</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89"/>
        <w:gridCol w:w="2629"/>
        <w:gridCol w:w="1807"/>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rPr>
                <w:color w:val="000000"/>
              </w:rPr>
            </w:pPr>
            <w:r>
              <w:rPr>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jc w:val="center"/>
              <w:rPr>
                <w:color w:val="000000"/>
              </w:rPr>
            </w:pPr>
            <w:r>
              <w:rPr>
                <w:color w:val="000000"/>
              </w:rPr>
              <w:t>http://hotel-podillya.com.ua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jc w:val="center"/>
              <w:rPr>
                <w:color w:val="000000"/>
              </w:rPr>
            </w:pPr>
            <w:r>
              <w:rPr>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B1252">
            <w:pPr>
              <w:jc w:val="center"/>
              <w:rPr>
                <w:color w:val="000000"/>
              </w:rPr>
            </w:pPr>
            <w:r>
              <w:rPr>
                <w:color w:val="000000"/>
              </w:rPr>
              <w:t>30.04.2015</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rStyle w:val="small-text1"/>
                <w:color w:val="000000"/>
              </w:rPr>
              <w:t>(дата)</w:t>
            </w:r>
          </w:p>
        </w:tc>
      </w:tr>
    </w:tbl>
    <w:p w:rsidR="00000000" w:rsidRDefault="00EB1252">
      <w:pPr>
        <w:pStyle w:val="3"/>
        <w:rPr>
          <w:color w:val="000000"/>
        </w:rPr>
      </w:pPr>
      <w:r>
        <w:rPr>
          <w:color w:val="000000"/>
        </w:rPr>
        <w:br w:type="page"/>
      </w:r>
      <w:r>
        <w:rPr>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3"/>
            <w:tcMar>
              <w:top w:w="60" w:type="dxa"/>
              <w:left w:w="60" w:type="dxa"/>
              <w:bottom w:w="60" w:type="dxa"/>
              <w:right w:w="60" w:type="dxa"/>
            </w:tcMar>
            <w:vAlign w:val="center"/>
            <w:hideMark/>
          </w:tcPr>
          <w:p w:rsidR="00000000" w:rsidRDefault="00EB1252">
            <w:pPr>
              <w:rPr>
                <w:b/>
                <w:bCs/>
                <w:color w:val="000000"/>
              </w:rPr>
            </w:pPr>
            <w:r>
              <w:rPr>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3"/>
            <w:tcMar>
              <w:top w:w="60" w:type="dxa"/>
              <w:left w:w="60" w:type="dxa"/>
              <w:bottom w:w="60" w:type="dxa"/>
              <w:right w:w="60" w:type="dxa"/>
            </w:tcMar>
            <w:vAlign w:val="center"/>
            <w:hideMark/>
          </w:tcPr>
          <w:p w:rsidR="00000000" w:rsidRDefault="00EB1252">
            <w:pPr>
              <w:rPr>
                <w:b/>
                <w:bCs/>
                <w:color w:val="000000"/>
              </w:rPr>
            </w:pPr>
            <w:r>
              <w:rPr>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 інформаці</w:t>
            </w:r>
            <w:r>
              <w:rPr>
                <w:b/>
                <w:bCs/>
                <w:color w:val="000000"/>
              </w:rPr>
              <w:t>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3"/>
            <w:tcMar>
              <w:top w:w="60" w:type="dxa"/>
              <w:left w:w="60" w:type="dxa"/>
              <w:bottom w:w="60" w:type="dxa"/>
              <w:right w:w="60" w:type="dxa"/>
            </w:tcMar>
            <w:vAlign w:val="center"/>
            <w:hideMark/>
          </w:tcPr>
          <w:p w:rsidR="00000000" w:rsidRDefault="00EB1252">
            <w:pPr>
              <w:rPr>
                <w:b/>
                <w:bCs/>
                <w:color w:val="000000"/>
              </w:rPr>
            </w:pPr>
            <w:r>
              <w:rPr>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16. Відомості щодо особливої інформації та інформації</w:t>
            </w:r>
            <w:r>
              <w:rPr>
                <w:b/>
                <w:bCs/>
                <w:color w:val="000000"/>
              </w:rPr>
              <w:t xml:space="preserve">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3"/>
            <w:tcMar>
              <w:top w:w="60" w:type="dxa"/>
              <w:left w:w="60" w:type="dxa"/>
              <w:bottom w:w="60" w:type="dxa"/>
              <w:right w:w="60" w:type="dxa"/>
            </w:tcMar>
            <w:vAlign w:val="center"/>
            <w:hideMark/>
          </w:tcPr>
          <w:p w:rsidR="00000000" w:rsidRDefault="00EB1252">
            <w:pPr>
              <w:rPr>
                <w:b/>
                <w:bCs/>
                <w:color w:val="000000"/>
              </w:rPr>
            </w:pPr>
            <w:r>
              <w:rPr>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 інформація щодо співвідношення розміру іпотечного покриття з розміром (сумою) зобов'язань за іпотеч</w:t>
            </w:r>
            <w:r>
              <w:rPr>
                <w:b/>
                <w:bCs/>
                <w:color w:val="000000"/>
              </w:rPr>
              <w:t xml:space="preserve">ними облігаціями з цим іпотечним покриттям на </w:t>
            </w:r>
            <w:r>
              <w:rPr>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lastRenderedPageBreak/>
              <w:t>3) інформація про заміни іпотечних активів у складі іпотечного покриття або включення нових іпоте</w:t>
            </w:r>
            <w:r>
              <w:rPr>
                <w:b/>
                <w:bCs/>
                <w:color w:val="000000"/>
              </w:rPr>
              <w:t>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20. Інформація про наявність прострочених боржником строків сплати чергових платежів за кредит</w:t>
            </w:r>
            <w:r>
              <w:rPr>
                <w:b/>
                <w:bCs/>
                <w:color w:val="000000"/>
              </w:rPr>
              <w:t>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B1252">
            <w:pPr>
              <w:rPr>
                <w:b/>
                <w:bCs/>
                <w:color w:val="000000"/>
              </w:rPr>
            </w:pPr>
            <w:r>
              <w:rPr>
                <w:b/>
                <w:bCs/>
                <w:color w:val="000000"/>
              </w:rPr>
              <w:t xml:space="preserve">32. Звіт про стан об'єкта нерухомості (у разі емісії </w:t>
            </w:r>
            <w:r>
              <w:rPr>
                <w:b/>
                <w:bCs/>
                <w:color w:val="000000"/>
              </w:rPr>
              <w:t>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B1252">
            <w:pPr>
              <w:rPr>
                <w:b/>
                <w:bCs/>
                <w:color w:val="000000"/>
              </w:rPr>
            </w:pPr>
          </w:p>
        </w:tc>
      </w:tr>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Вiдомостi щодо участi емiтента в створеннi юридичних осiб вiдсутня, тому що Емiтент участi в створе</w:t>
            </w:r>
            <w:r>
              <w:rPr>
                <w:color w:val="000000"/>
              </w:rPr>
              <w:t>ннi юридичних осiб не брав.</w:t>
            </w:r>
            <w:r>
              <w:rPr>
                <w:color w:val="000000"/>
              </w:rPr>
              <w:br/>
              <w:t>Iнформацiя щодо посади корпоративного секретаря вiдсутня, оскiльки Корпоративного секретаря у Товариства не має.</w:t>
            </w:r>
            <w:r>
              <w:rPr>
                <w:color w:val="000000"/>
              </w:rPr>
              <w:br/>
              <w:t>Iнформацiя про рейтингове агенство вiдсутня, оскiльки рейтингова оцiнка Товариства не проводилася.</w:t>
            </w:r>
            <w:r>
              <w:rPr>
                <w:color w:val="000000"/>
              </w:rPr>
              <w:br/>
              <w:t>Iнформацiя про д</w:t>
            </w:r>
            <w:r>
              <w:rPr>
                <w:color w:val="000000"/>
              </w:rPr>
              <w:t>ивiденди вiдсутня, оскiльки дивiденди не нараховувалися та не виплочувалися.</w:t>
            </w:r>
            <w:r>
              <w:rPr>
                <w:color w:val="000000"/>
              </w:rPr>
              <w:br/>
              <w:t>Iнформацiя про облiгацiї емiтента вiдсутня, тому що випуском таких цiнних паперiв, як облiгацiї, Товариство не займається.</w:t>
            </w:r>
            <w:r>
              <w:rPr>
                <w:color w:val="000000"/>
              </w:rPr>
              <w:br/>
              <w:t>Iнформацiя про iншi цiннi папери вiдсутня, у зв'язку з т</w:t>
            </w:r>
            <w:r>
              <w:rPr>
                <w:color w:val="000000"/>
              </w:rPr>
              <w:t>им, що Товариством випускались лише акцiї.</w:t>
            </w:r>
            <w:r>
              <w:rPr>
                <w:color w:val="000000"/>
              </w:rPr>
              <w:br/>
              <w:t>Iнформацiя про похiднi цiннi папери вiдсутня, у зв'язку з тим, що Товариство не випускало похiдних цiнних паперiв.</w:t>
            </w:r>
            <w:r>
              <w:rPr>
                <w:color w:val="000000"/>
              </w:rPr>
              <w:br/>
              <w:t>Iнформацiя про викуп власних акцiй протягом звiтного перiоду вiдсутня, оскiльки викупу власних акц</w:t>
            </w:r>
            <w:r>
              <w:rPr>
                <w:color w:val="000000"/>
              </w:rPr>
              <w:t>iй протягом звiтного перiоду не було.</w:t>
            </w:r>
            <w:r>
              <w:rPr>
                <w:color w:val="000000"/>
              </w:rPr>
              <w:br/>
              <w:t>Iнформацiя про обсяги виробництва та реалiзацiї основних видiв продукцiї вiдсутня, оскiльки Товариство вiдноситься до сфери послуг i займається наданням готельних послуг, а не виробництвом будь-якого виду продукцiї.</w:t>
            </w:r>
            <w:r>
              <w:rPr>
                <w:color w:val="000000"/>
              </w:rPr>
              <w:br/>
            </w:r>
            <w:r>
              <w:rPr>
                <w:color w:val="000000"/>
              </w:rPr>
              <w:lastRenderedPageBreak/>
              <w:t>Iн</w:t>
            </w:r>
            <w:r>
              <w:rPr>
                <w:color w:val="000000"/>
              </w:rPr>
              <w:t>формацiя про собiвартiсть реалiзованої продукцiї вiдсутня, оскiльки Товариство не реалiзує продукцiю.</w:t>
            </w:r>
            <w:r>
              <w:rPr>
                <w:color w:val="000000"/>
              </w:rPr>
              <w:br/>
              <w:t>Iнформацiя про забазпечення випуску боргових цiнних паперiв вiдсутня, тому що Товариство випуском боргових цiнних паперiв не займається.</w:t>
            </w:r>
            <w:r>
              <w:rPr>
                <w:color w:val="000000"/>
              </w:rPr>
              <w:br/>
              <w:t>Iнформацiя щодо о</w:t>
            </w:r>
            <w:r>
              <w:rPr>
                <w:color w:val="000000"/>
              </w:rPr>
              <w:t>собливої iнформацiї та iнформацiї про iпотечнi цiннi папери, що виникала протягом звiтного перiоду вiдсутня, тому що така iнформацiя не виникала протягом звiтного року.</w:t>
            </w:r>
            <w:r>
              <w:rPr>
                <w:color w:val="000000"/>
              </w:rPr>
              <w:br/>
              <w:t>Iнформацiя про випуски iпотечних облiгацiй вiдсутня, оскiльки Товариство не займалося в</w:t>
            </w:r>
            <w:r>
              <w:rPr>
                <w:color w:val="000000"/>
              </w:rPr>
              <w:t>ипуском iпотечних облiгацiй.</w:t>
            </w:r>
            <w:r>
              <w:rPr>
                <w:color w:val="000000"/>
              </w:rPr>
              <w:br/>
              <w:t>Iнформацiя про розмiр iпотечного покриття та його спiввiдношення з розмiром (сумою) зобовязань за iпотечними облiгацiями з цим iпотечним покриттям вiдсутня, оскiльки iпотечного покриття у Товариства не було.</w:t>
            </w:r>
            <w:r>
              <w:rPr>
                <w:color w:val="000000"/>
              </w:rPr>
              <w:br/>
              <w:t>Iнформацiя щодо спi</w:t>
            </w:r>
            <w:r>
              <w:rPr>
                <w:color w:val="000000"/>
              </w:rPr>
              <w:t>ввiдношення розмiру iiпотечного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вiдсутня, оскiльки д</w:t>
            </w:r>
            <w:r>
              <w:rPr>
                <w:color w:val="000000"/>
              </w:rPr>
              <w:t>аних подiй у Товариства не протягом звiтного перiоду не вiдбувалося.</w:t>
            </w:r>
            <w:r>
              <w:rPr>
                <w:color w:val="000000"/>
              </w:rPr>
              <w:br/>
              <w:t xml:space="preserve">Iнформацiя про замiни iпотечних активiв у складi iпотечного покриття або включення нових iпотечних активiв до складу iпотечного покриття вiдсутня, тому що замiна або виключення iпотечних </w:t>
            </w:r>
            <w:r>
              <w:rPr>
                <w:color w:val="000000"/>
              </w:rPr>
              <w:t>активiв у Товариства не вiдбувалося, оскiльки iпотечнi активи у Товариства вiдсутнi.</w:t>
            </w:r>
            <w:r>
              <w:rPr>
                <w:color w:val="000000"/>
              </w:rPr>
              <w:br/>
              <w:t>Вiдомостi про структуру iпотечного покриття iпотечних облiгацiй за видами iпотечних активiв та iнших активiв на кiнець звiтного перiоду вiдсутня, оскiльки iпотечного покри</w:t>
            </w:r>
            <w:r>
              <w:rPr>
                <w:color w:val="000000"/>
              </w:rPr>
              <w:t>ття iпотечних облiгацiй у Товариства не вiдбувалося.</w:t>
            </w:r>
            <w:r>
              <w:rPr>
                <w:color w:val="000000"/>
              </w:rPr>
              <w:br/>
              <w:t>Вiдомостi щодо пiдстав виникнення у емiтента iпотечних облiгацiй прав на iпотечнi активи, якi складають iпотечне покриття за станом на кiнець звiтного року вiдсутнi, оскiльки Товариство не є емiтентом об</w:t>
            </w:r>
            <w:r>
              <w:rPr>
                <w:color w:val="000000"/>
              </w:rPr>
              <w:t>лiгацiй.</w:t>
            </w:r>
            <w:r>
              <w:rPr>
                <w:color w:val="000000"/>
              </w:rPr>
              <w:b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вiдсутня, оскiльки такi кредитнi</w:t>
            </w:r>
            <w:r>
              <w:rPr>
                <w:color w:val="000000"/>
              </w:rPr>
              <w:t xml:space="preserve"> договори у Товариства не iснують.</w:t>
            </w:r>
            <w:r>
              <w:rPr>
                <w:color w:val="000000"/>
              </w:rPr>
              <w:br/>
              <w:t>Iнформацiя про випуски iпотечних сертифiкатiв вiдсутня, тому що випуском iпотечних сертифiкатiв Товариство не займається.</w:t>
            </w:r>
            <w:r>
              <w:rPr>
                <w:color w:val="000000"/>
              </w:rPr>
              <w:br/>
              <w:t>Iнформацiя щодо реєстру iпотечних активiв вiдсутня, тому що такий реєстр у Товаритсва не iснує.</w:t>
            </w:r>
            <w:r>
              <w:rPr>
                <w:color w:val="000000"/>
              </w:rPr>
              <w:br/>
              <w:t>Iнф</w:t>
            </w:r>
            <w:r>
              <w:rPr>
                <w:color w:val="000000"/>
              </w:rPr>
              <w:t>ормацiя,зазначена в п.23-27 не надається,тому що Товариство не створювало ФОН, не випускало сертифiкатiв ФОН. У звязку з цим, вiдсутня iнформацiя про осiб, що володiють сертифiкатами ФОН, та iнформацiя щодо розрахунку вартостi чистих активiв ФОН та правила</w:t>
            </w:r>
            <w:r>
              <w:rPr>
                <w:color w:val="000000"/>
              </w:rPr>
              <w:t xml:space="preserve"> ФОН.</w:t>
            </w:r>
            <w:r>
              <w:rPr>
                <w:color w:val="000000"/>
              </w:rPr>
              <w:br/>
              <w:t xml:space="preserve">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вiдсутнiй, оскiльки передачi обєкта нерухомостi у Товариства не </w:t>
            </w:r>
            <w:r>
              <w:rPr>
                <w:color w:val="000000"/>
              </w:rPr>
              <w:t>було, тому що Товариство не є емiтентом цiльових облiгацiй.</w:t>
            </w:r>
          </w:p>
        </w:tc>
      </w:tr>
    </w:tbl>
    <w:p w:rsidR="00000000" w:rsidRDefault="00EB1252">
      <w:pPr>
        <w:pStyle w:val="3"/>
        <w:rPr>
          <w:color w:val="000000"/>
        </w:rPr>
      </w:pPr>
      <w:r>
        <w:rPr>
          <w:color w:val="000000"/>
        </w:rPr>
        <w:lastRenderedPageBreak/>
        <w:br w:type="page"/>
      </w:r>
      <w:r>
        <w:rPr>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ААВ №038150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29.04.1996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xml:space="preserve">Хмельницька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1836190.00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Відсоток акцій у статутном</w:t>
            </w:r>
            <w:r>
              <w:rPr>
                <w:color w:val="000000"/>
              </w:rPr>
              <w:t>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81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55.10 Дiяльнiсть готелiв i подiбних засобiв тимчасового розмiщування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35.30 Постачання пари, гарячої води та кондицiйованого повiтря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55.90 Дiяльнiсть iнших засобiв тим</w:t>
            </w:r>
            <w:r>
              <w:rPr>
                <w:color w:val="000000"/>
              </w:rPr>
              <w:t>часового розмiщування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Загальнi збори акцiонерiв Наглядова рада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найменування банку (філії, відділення банку), який обслуговує емітента за поточним рахунком у національн</w:t>
            </w:r>
            <w:r>
              <w:rPr>
                <w:color w:val="000000"/>
              </w:rPr>
              <w:t>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Фiлiя Хмельницьке обласне АТ "Ощадбанк"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315784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26001301011438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Хмельницька фiлiя ПАТ "Укрiнбанк"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315397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26002071179840</w:t>
            </w:r>
          </w:p>
        </w:tc>
      </w:tr>
    </w:tbl>
    <w:p w:rsidR="00000000" w:rsidRDefault="00EB1252">
      <w:pPr>
        <w:pStyle w:val="4"/>
        <w:rPr>
          <w:color w:val="000000"/>
        </w:rPr>
      </w:pPr>
      <w:r>
        <w:rPr>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3761"/>
        <w:gridCol w:w="1223"/>
        <w:gridCol w:w="1055"/>
        <w:gridCol w:w="2698"/>
        <w:gridCol w:w="158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Роздрiбна торгiвля алкогольними напоями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АЕ № 392037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09.04.2014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Мiнiстерство доходiв i зборiв України ГУ Мiндоходiв у Хмельницькiй обл.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Роздрiбна торгiвля алкогольними напоями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АЕ № 305768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Мiнiстерство доходiв i зборiв України Головне управлiння Мiндоходiв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09.01.2015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Постачання теплової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АВ №617711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Хмельницька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Виробництво теплової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АГ №572465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Хмельницька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w:t>
            </w:r>
          </w:p>
        </w:tc>
      </w:tr>
    </w:tbl>
    <w:p w:rsidR="00000000" w:rsidRDefault="00EB1252">
      <w:pPr>
        <w:pStyle w:val="3"/>
        <w:rPr>
          <w:color w:val="000000"/>
        </w:rPr>
      </w:pPr>
      <w:r>
        <w:rPr>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903"/>
        <w:gridCol w:w="1901"/>
        <w:gridCol w:w="2472"/>
        <w:gridCol w:w="304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Відсоток акцій (часток, паїв), я</w:t>
            </w:r>
            <w:r>
              <w:rPr>
                <w:b/>
                <w:bCs/>
                <w:color w:val="000000"/>
                <w:sz w:val="20"/>
                <w:szCs w:val="20"/>
              </w:rPr>
              <w:t>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 юридичнi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0Україна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15.620000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Держава Україна в особi Фонду державного майна України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02898152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29000Україна м. Хмельницький вул. Шевченка, 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Скрипка Iван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xml:space="preserve">НА 399177 02.10.1997 </w:t>
            </w:r>
            <w:r>
              <w:rPr>
                <w:color w:val="000000"/>
                <w:sz w:val="20"/>
                <w:szCs w:val="20"/>
              </w:rPr>
              <w:t>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57.026806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Загальна кiлькiсть фiзичних осiб - 13013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д/н 0 01.01.2001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27.353200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100.000000</w:t>
            </w:r>
          </w:p>
        </w:tc>
      </w:tr>
    </w:tbl>
    <w:p w:rsidR="00000000" w:rsidRDefault="00EB1252">
      <w:pPr>
        <w:pStyle w:val="3"/>
        <w:rPr>
          <w:color w:val="000000"/>
        </w:rPr>
      </w:pPr>
      <w:r>
        <w:rPr>
          <w:color w:val="000000"/>
        </w:rPr>
        <w:lastRenderedPageBreak/>
        <w:t>V. Інформація про посадових осіб емітента</w:t>
      </w:r>
    </w:p>
    <w:p w:rsidR="00000000" w:rsidRDefault="00EB1252">
      <w:pPr>
        <w:pStyle w:val="4"/>
        <w:rPr>
          <w:color w:val="000000"/>
        </w:rPr>
      </w:pPr>
      <w:r>
        <w:rPr>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Скрипка Iван Iванович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w:t>
            </w:r>
            <w:r>
              <w:rPr>
                <w:color w:val="000000"/>
              </w:rPr>
              <w:t>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399177 02.10.1997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Голова правлiння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14.03.2007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w:t>
            </w:r>
            <w:r>
              <w:rPr>
                <w:color w:val="000000"/>
              </w:rPr>
              <w:t>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w:t>
            </w:r>
            <w:r>
              <w:rPr>
                <w:color w:val="000000"/>
                <w:sz w:val="20"/>
                <w:szCs w:val="20"/>
              </w:rPr>
              <w:t xml:space="preserve">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Кiзiцька Галина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420909 24.01.1998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1966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w:t>
            </w:r>
            <w:r>
              <w:rPr>
                <w:color w:val="000000"/>
              </w:rPr>
              <w:t>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23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Головний бухгалтер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пiдставi Рiшення Загальних зборiв акцiонерiв ПАТ "Готель "Подiлля" (протокол б/н вiд 30.04.2012 р.). Особу призначено на 3 роки.</w:t>
            </w:r>
            <w:r>
              <w:rPr>
                <w:color w:val="000000"/>
              </w:rPr>
              <w:br/>
              <w:t>Змiн у персональному складi посадових осiб на протязi 2013 р. не було.</w:t>
            </w:r>
            <w:r>
              <w:rPr>
                <w:color w:val="000000"/>
              </w:rPr>
              <w:br/>
              <w:t>Повноваження посадової особи згiдно Статуту Товариств</w:t>
            </w:r>
            <w:r>
              <w:rPr>
                <w:color w:val="000000"/>
              </w:rPr>
              <w:t>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w:t>
            </w:r>
            <w:r>
              <w:rPr>
                <w:color w:val="000000"/>
                <w:sz w:val="20"/>
                <w:szCs w:val="20"/>
              </w:rPr>
              <w:t xml:space="preserve">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Дмитришина Раїса Миколаївна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w:t>
            </w:r>
            <w:r>
              <w:rPr>
                <w:color w:val="000000"/>
              </w:rPr>
              <w:t>,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473913 07.03.1998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1964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середня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Адмiнiстратор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w:t>
            </w:r>
            <w:r>
              <w:rPr>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Похило Олена Вiталiївна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040557 11.01.1996 Деражнян</w:t>
            </w:r>
            <w:r>
              <w:rPr>
                <w:color w:val="000000"/>
              </w:rPr>
              <w:t>ським РВ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1960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Завiдуєча поверхами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w:t>
            </w:r>
            <w:r>
              <w:rPr>
                <w:color w:val="000000"/>
              </w:rPr>
              <w:t>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w:t>
            </w:r>
            <w:r>
              <w:rPr>
                <w:color w:val="000000"/>
                <w:sz w:val="20"/>
                <w:szCs w:val="20"/>
              </w:rPr>
              <w:t>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Бiла Раїса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w:t>
            </w:r>
            <w:r>
              <w:rPr>
                <w:color w:val="000000"/>
              </w:rPr>
              <w:t xml:space="preserve">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290780 11.02.1997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1957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Адмiнiстратор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На пiдставi Рiшення Загальних зборiв акцiонерiв ПАТ "Готель "Подiлля" (протокол б/н вiд 30.04.2012 р.). Особу призначено на</w:t>
            </w:r>
            <w:r>
              <w:rPr>
                <w:color w:val="000000"/>
              </w:rPr>
              <w:t xml:space="preserve"> 3 роки.</w:t>
            </w:r>
            <w:r>
              <w:rPr>
                <w:color w:val="000000"/>
              </w:rPr>
              <w:b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 Зазначається у разі надання </w:t>
            </w:r>
            <w:r>
              <w:rPr>
                <w:color w:val="000000"/>
                <w:sz w:val="20"/>
                <w:szCs w:val="20"/>
              </w:rPr>
              <w:t xml:space="preserve">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 xml:space="preserve">Голова Наглядової ради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Скрипка Валентина Iванiвна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141911 05.07.2002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1952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середня-спецiальна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Покоївка ПАТ "Готель "Подiлля</w:t>
            </w:r>
            <w:r>
              <w:rPr>
                <w:color w:val="000000"/>
              </w:rPr>
              <w:t>"</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r>
            <w:r>
              <w:rPr>
                <w:color w:val="000000"/>
              </w:rP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w:t>
            </w:r>
            <w:r>
              <w:rPr>
                <w:color w:val="000000"/>
                <w:sz w:val="20"/>
                <w:szCs w:val="20"/>
              </w:rPr>
              <w:t xml:space="preserve">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Сопiльняк Вiктор Володимирович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 xml:space="preserve">3) паспортні дані фізичної особи (серія, номер, дата </w:t>
            </w:r>
            <w:r>
              <w:rPr>
                <w:color w:val="000000"/>
              </w:rPr>
              <w:t>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НВ 000013 13.07.2002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1986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Заступник голови правлiння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 xml:space="preserve">Змiн у персональному складi посадових осiб на </w:t>
            </w:r>
            <w:r>
              <w:rPr>
                <w:color w:val="000000"/>
              </w:rPr>
              <w:t>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фізичної особи на розкриття паспортних даних. У р</w:t>
            </w:r>
            <w:r>
              <w:rPr>
                <w:color w:val="000000"/>
                <w:sz w:val="20"/>
                <w:szCs w:val="20"/>
              </w:rPr>
              <w:t xml:space="preserve">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Куян Наталiя Леонiдiвна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НВ 055143 18.12.2009 Красилiвським РВ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1988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Бухгалтер-касир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w:t>
            </w:r>
            <w:r>
              <w:rPr>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w:t>
            </w:r>
            <w:r>
              <w:rPr>
                <w:color w:val="000000"/>
              </w:rPr>
              <w:t xml:space="preserve">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Гнатюк Iрина Степанiвна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НВ 385904 11.03.2006 Красилiвським РВ УМВС УКраїни в Хмельницькiй об</w:t>
            </w:r>
            <w:r>
              <w:rPr>
                <w:color w:val="000000"/>
              </w:rPr>
              <w:t>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1988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Заступник головного бухгалтера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w:t>
            </w:r>
            <w:r>
              <w:rPr>
                <w:color w:val="000000"/>
              </w:rPr>
              <w:t>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w:t>
            </w:r>
            <w:r>
              <w:rPr>
                <w:color w:val="000000"/>
                <w:sz w:val="20"/>
                <w:szCs w:val="20"/>
              </w:rPr>
              <w:t>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Скрипка Наталiя Василiвна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НВ 531549 01.07.2009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1976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середня -спецiальна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w:t>
            </w:r>
            <w:r>
              <w:rPr>
                <w:color w:val="000000"/>
              </w:rPr>
              <w:t>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Бухгалтер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lastRenderedPageBreak/>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Зазначається у разі надання згоди фіз</w:t>
            </w:r>
            <w:r>
              <w:rPr>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Цвяк Вiктор Васильович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НА 419086 17.01.1998 Хмельниць</w:t>
            </w:r>
            <w:r>
              <w:rPr>
                <w:color w:val="000000"/>
              </w:rPr>
              <w:t>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1957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д/в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29.04.2012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Зазначаєт</w:t>
            </w:r>
            <w:r>
              <w:rPr>
                <w:color w:val="000000"/>
                <w:sz w:val="20"/>
                <w:szCs w:val="20"/>
              </w:rPr>
              <w:t xml:space="preserve">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bl>
    <w:p w:rsidR="00000000" w:rsidRDefault="00EB1252">
      <w:pPr>
        <w:rPr>
          <w:color w:val="000000"/>
        </w:rPr>
        <w:sectPr w:rsidR="00000000">
          <w:pgSz w:w="11907" w:h="16840"/>
          <w:pgMar w:top="1134" w:right="851" w:bottom="851" w:left="851" w:header="0" w:footer="0" w:gutter="0"/>
          <w:cols w:space="708"/>
          <w:docGrid w:linePitch="360"/>
        </w:sectPr>
      </w:pPr>
    </w:p>
    <w:p w:rsidR="00000000" w:rsidRDefault="00EB1252">
      <w:pPr>
        <w:pStyle w:val="4"/>
        <w:rPr>
          <w:color w:val="000000"/>
        </w:rPr>
      </w:pPr>
      <w:r>
        <w:rPr>
          <w:color w:val="000000"/>
        </w:rPr>
        <w:lastRenderedPageBreak/>
        <w:t>2. Інформація про володіння</w:t>
      </w:r>
      <w:r>
        <w:rPr>
          <w:color w:val="000000"/>
        </w:rPr>
        <w:t xml:space="preserve">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69"/>
        <w:gridCol w:w="2545"/>
        <w:gridCol w:w="2962"/>
        <w:gridCol w:w="1200"/>
        <w:gridCol w:w="1526"/>
        <w:gridCol w:w="899"/>
        <w:gridCol w:w="1397"/>
        <w:gridCol w:w="1521"/>
        <w:gridCol w:w="1656"/>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Кількіст</w:t>
            </w:r>
            <w:r>
              <w:rPr>
                <w:b/>
                <w:bCs/>
                <w:color w:val="000000"/>
                <w:sz w:val="20"/>
                <w:szCs w:val="20"/>
              </w:rPr>
              <w:t>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Скрипка Iван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Кiзiцька Галина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420909 26.01.1998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Член правлiн</w:t>
            </w:r>
            <w:r>
              <w:rPr>
                <w:color w:val="000000"/>
                <w:sz w:val="20"/>
                <w:szCs w:val="20"/>
              </w:rPr>
              <w:t>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Дмитришина Раїса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473913 07.03.1998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Похило Олена Вiталiївна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040557 11.01.1996 Деражнянським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Бiла Раїса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290780 11.02.1997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0.028864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Скрипка Валентина Iванiвна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141911 05.07.2002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569483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7.753596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569483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Сопiльняк Вiктор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НВ 000013 13.07.2002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534761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7.280851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534761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Куян Наталiя Леонiдiвна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НВ 055143 18.12.2009 Красилiвським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Гнатюк Iрина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НВ 385904 11.03.2006 Красилiвським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xml:space="preserve">Член </w:t>
            </w:r>
            <w:r>
              <w:rPr>
                <w:color w:val="000000"/>
                <w:sz w:val="20"/>
                <w:szCs w:val="20"/>
              </w:rPr>
              <w:lastRenderedPageBreak/>
              <w:t>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Скрипка Наталiя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xml:space="preserve">НВ 531549 01.07.2009 </w:t>
            </w:r>
            <w:r>
              <w:rPr>
                <w:color w:val="000000"/>
                <w:sz w:val="20"/>
                <w:szCs w:val="20"/>
              </w:rPr>
              <w:lastRenderedPageBreak/>
              <w:t>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Цвяк Вiктор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419086 17.01.1998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0.000613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5294896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72.090797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5294896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r>
    </w:tbl>
    <w:p w:rsidR="00000000" w:rsidRPr="00493FA1" w:rsidRDefault="00EB1252">
      <w:pPr>
        <w:pStyle w:val="small-text"/>
        <w:rPr>
          <w:color w:val="000000"/>
        </w:rPr>
      </w:pPr>
      <w:r>
        <w:rPr>
          <w:color w:val="000000"/>
        </w:rPr>
        <w:t xml:space="preserve">* Зазначається у разі надання згоди фізичної особи на </w:t>
      </w:r>
      <w:r>
        <w:rPr>
          <w:color w:val="000000"/>
        </w:rPr>
        <w:t xml:space="preserve">розкриття паспортних даних. </w:t>
      </w:r>
    </w:p>
    <w:p w:rsidR="00000000" w:rsidRDefault="00EB1252">
      <w:pPr>
        <w:rPr>
          <w:color w:val="000000"/>
        </w:rPr>
        <w:sectPr w:rsidR="00000000">
          <w:pgSz w:w="16840" w:h="11907" w:orient="landscape"/>
          <w:pgMar w:top="1134" w:right="1134" w:bottom="851" w:left="851" w:header="0" w:footer="0" w:gutter="0"/>
          <w:cols w:space="720"/>
        </w:sectPr>
      </w:pPr>
    </w:p>
    <w:p w:rsidR="00000000" w:rsidRDefault="00EB1252">
      <w:pPr>
        <w:pStyle w:val="3"/>
        <w:rPr>
          <w:color w:val="000000"/>
        </w:rPr>
      </w:pPr>
      <w:r>
        <w:rPr>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30"/>
        <w:gridCol w:w="1606"/>
        <w:gridCol w:w="2371"/>
        <w:gridCol w:w="1307"/>
        <w:gridCol w:w="1784"/>
        <w:gridCol w:w="942"/>
        <w:gridCol w:w="1476"/>
        <w:gridCol w:w="1575"/>
        <w:gridCol w:w="1784"/>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w:t>
            </w:r>
            <w:r>
              <w:rPr>
                <w:b/>
                <w:bCs/>
                <w:color w:val="000000"/>
                <w:sz w:val="20"/>
                <w:szCs w:val="20"/>
              </w:rPr>
              <w:t>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привілейовані на пред'явника</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Скрипка Iван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r>
    </w:tbl>
    <w:p w:rsidR="00000000" w:rsidRPr="00493FA1" w:rsidRDefault="00EB1252">
      <w:pPr>
        <w:pStyle w:val="small-text"/>
        <w:rPr>
          <w:color w:val="000000"/>
        </w:rPr>
      </w:pPr>
      <w:r>
        <w:rPr>
          <w:color w:val="000000"/>
        </w:rPr>
        <w:t xml:space="preserve">* Зазначається: "Фізична особа", якщо фізична особа не дала </w:t>
      </w:r>
      <w:r>
        <w:rPr>
          <w:color w:val="000000"/>
        </w:rPr>
        <w:t xml:space="preserve">згоди на розкриття прізвища, ім'я, по батькові. </w:t>
      </w:r>
      <w:r>
        <w:rPr>
          <w:color w:val="000000"/>
        </w:rPr>
        <w:br/>
        <w:t xml:space="preserve">** Заповненювати необов'язково. </w:t>
      </w:r>
    </w:p>
    <w:p w:rsidR="00000000" w:rsidRDefault="00EB1252">
      <w:pPr>
        <w:rPr>
          <w:color w:val="000000"/>
        </w:rPr>
        <w:sectPr w:rsidR="00000000">
          <w:pgSz w:w="16840" w:h="11907" w:orient="landscape"/>
          <w:pgMar w:top="1134" w:right="1134" w:bottom="851" w:left="851" w:header="0" w:footer="0" w:gutter="0"/>
          <w:cols w:space="720"/>
        </w:sectPr>
      </w:pPr>
    </w:p>
    <w:p w:rsidR="00000000" w:rsidRDefault="00EB1252">
      <w:pPr>
        <w:pStyle w:val="3"/>
        <w:rPr>
          <w:color w:val="000000"/>
        </w:rPr>
      </w:pPr>
      <w:r>
        <w:rPr>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63"/>
        <w:gridCol w:w="3543"/>
        <w:gridCol w:w="5319"/>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23.04.2013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93.350000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spacing w:after="240"/>
              <w:rPr>
                <w:color w:val="000000"/>
                <w:sz w:val="20"/>
                <w:szCs w:val="20"/>
              </w:rPr>
            </w:pPr>
            <w:r>
              <w:rPr>
                <w:color w:val="000000"/>
                <w:sz w:val="20"/>
                <w:szCs w:val="20"/>
              </w:rPr>
              <w:t>ПОРЯДОК ДЕННИЙ:</w:t>
            </w:r>
            <w:r>
              <w:rPr>
                <w:color w:val="000000"/>
                <w:sz w:val="20"/>
                <w:szCs w:val="20"/>
              </w:rPr>
              <w:br/>
              <w:t>1. Про обрання робочих органiв.</w:t>
            </w:r>
            <w:r>
              <w:rPr>
                <w:color w:val="000000"/>
                <w:sz w:val="20"/>
                <w:szCs w:val="20"/>
              </w:rPr>
              <w:br/>
              <w:t>2. Звiт Правлiння про результати фiнансово-господарської дiяльностi товариства за 2012 рiк.</w:t>
            </w:r>
            <w:r>
              <w:rPr>
                <w:color w:val="000000"/>
                <w:sz w:val="20"/>
                <w:szCs w:val="20"/>
              </w:rPr>
              <w:br/>
              <w:t>3. Звiт Спостережної ради.</w:t>
            </w:r>
            <w:r>
              <w:rPr>
                <w:color w:val="000000"/>
                <w:sz w:val="20"/>
                <w:szCs w:val="20"/>
              </w:rPr>
              <w:br/>
              <w:t>4. Звiт та висновки Ревiзiйної комiсiї.</w:t>
            </w:r>
            <w:r>
              <w:rPr>
                <w:color w:val="000000"/>
                <w:sz w:val="20"/>
                <w:szCs w:val="20"/>
              </w:rPr>
              <w:br/>
              <w:t>5.Затвердження рiчного звiту та балансу.</w:t>
            </w:r>
            <w:r>
              <w:rPr>
                <w:color w:val="000000"/>
                <w:sz w:val="20"/>
                <w:szCs w:val="20"/>
              </w:rPr>
              <w:br/>
              <w:t>6.</w:t>
            </w:r>
            <w:r>
              <w:rPr>
                <w:color w:val="000000"/>
                <w:sz w:val="20"/>
                <w:szCs w:val="20"/>
              </w:rPr>
              <w:t xml:space="preserve"> Затвердження основних напрямкiв дiяльностi та затвердження планового розподiлу прибутку на 2013 рiк.</w:t>
            </w:r>
            <w:r>
              <w:rPr>
                <w:color w:val="000000"/>
                <w:sz w:val="20"/>
                <w:szCs w:val="20"/>
              </w:rPr>
              <w:br/>
              <w:t>7. Про додаткову емiсiю (випуск) акцiй та їх розмiщення.</w:t>
            </w:r>
            <w:r>
              <w:rPr>
                <w:color w:val="000000"/>
                <w:sz w:val="20"/>
                <w:szCs w:val="20"/>
              </w:rPr>
              <w:br/>
              <w:t>8. Про обрання робочих органiв управлiння товариства.</w:t>
            </w:r>
            <w:r>
              <w:rPr>
                <w:color w:val="000000"/>
                <w:sz w:val="20"/>
                <w:szCs w:val="20"/>
              </w:rPr>
              <w:br/>
              <w:t>З першого питання порядку денного</w:t>
            </w:r>
            <w:r>
              <w:rPr>
                <w:color w:val="000000"/>
                <w:sz w:val="20"/>
                <w:szCs w:val="20"/>
              </w:rPr>
              <w:br/>
              <w:t>Вирiшили:</w:t>
            </w:r>
            <w:r>
              <w:rPr>
                <w:color w:val="000000"/>
                <w:sz w:val="20"/>
                <w:szCs w:val="20"/>
              </w:rPr>
              <w:br/>
              <w:t>1.1.Обрати Головою лiчильної комiсiї – Гнатюк Iрину Степанiвну, членом лiчильної комiсiї – Сопiльняка Вiктора Володимировича.</w:t>
            </w:r>
            <w:r>
              <w:rPr>
                <w:color w:val="000000"/>
                <w:sz w:val="20"/>
                <w:szCs w:val="20"/>
              </w:rPr>
              <w:br/>
              <w:t xml:space="preserve">1.2. Встановити наступний Регламент проведення Зборiв: </w:t>
            </w:r>
            <w:r>
              <w:rPr>
                <w:color w:val="000000"/>
                <w:sz w:val="20"/>
                <w:szCs w:val="20"/>
              </w:rPr>
              <w:br/>
              <w:t>1). доповiдь Голови правлiння – до 30 хв.;</w:t>
            </w:r>
            <w:r>
              <w:rPr>
                <w:color w:val="000000"/>
                <w:sz w:val="20"/>
                <w:szCs w:val="20"/>
              </w:rPr>
              <w:br/>
              <w:t xml:space="preserve">2). iншi доповiдi за порядком </w:t>
            </w:r>
            <w:r>
              <w:rPr>
                <w:color w:val="000000"/>
                <w:sz w:val="20"/>
                <w:szCs w:val="20"/>
              </w:rPr>
              <w:t>денним – до 10 хвилин;</w:t>
            </w:r>
            <w:r>
              <w:rPr>
                <w:color w:val="000000"/>
                <w:sz w:val="20"/>
                <w:szCs w:val="20"/>
              </w:rPr>
              <w:br/>
              <w:t>3). виступи пiд час дебатiв – до 5 хвилин, але в сумi не бiльше 10 хвилин по одному питанню;</w:t>
            </w:r>
            <w:r>
              <w:rPr>
                <w:color w:val="000000"/>
                <w:sz w:val="20"/>
                <w:szCs w:val="20"/>
              </w:rPr>
              <w:br/>
              <w:t>4). зауваження до виступiв – до 2 хвилин;</w:t>
            </w:r>
            <w:r>
              <w:rPr>
                <w:color w:val="000000"/>
                <w:sz w:val="20"/>
                <w:szCs w:val="20"/>
              </w:rPr>
              <w:br/>
              <w:t>5). голосування з питань порядку денного здiйснюється вiдкритим способом шляхом пiдняття карток, з</w:t>
            </w:r>
            <w:r>
              <w:rPr>
                <w:color w:val="000000"/>
                <w:sz w:val="20"/>
                <w:szCs w:val="20"/>
              </w:rPr>
              <w:t>а принципом: одна акцiя – один голос;</w:t>
            </w:r>
            <w:r>
              <w:rPr>
                <w:color w:val="000000"/>
                <w:sz w:val="20"/>
                <w:szCs w:val="20"/>
              </w:rPr>
              <w:br/>
              <w:t>6). усi виступи починаються тiльки пiсля дозволу головуючого на Зборах.</w:t>
            </w:r>
            <w:r>
              <w:rPr>
                <w:color w:val="000000"/>
                <w:sz w:val="20"/>
                <w:szCs w:val="20"/>
              </w:rPr>
              <w:br/>
              <w:t>Обрати секретарем Загальних зборiв – Гнатюк I.С.</w:t>
            </w:r>
            <w:r>
              <w:rPr>
                <w:color w:val="000000"/>
                <w:sz w:val="20"/>
                <w:szCs w:val="20"/>
              </w:rPr>
              <w:br/>
              <w:t>Вирiшили:</w:t>
            </w:r>
            <w:r>
              <w:rPr>
                <w:color w:val="000000"/>
                <w:sz w:val="20"/>
                <w:szCs w:val="20"/>
              </w:rPr>
              <w:br/>
              <w:t>Розпочати роботу Загальних зборiв акцiонерiв.</w:t>
            </w:r>
            <w:r>
              <w:rPr>
                <w:color w:val="000000"/>
                <w:sz w:val="20"/>
                <w:szCs w:val="20"/>
              </w:rPr>
              <w:br/>
              <w:t>З другого питання порядку денного</w:t>
            </w:r>
            <w:r>
              <w:rPr>
                <w:color w:val="000000"/>
                <w:sz w:val="20"/>
                <w:szCs w:val="20"/>
              </w:rPr>
              <w:br/>
              <w:t>Вирiшил</w:t>
            </w:r>
            <w:r>
              <w:rPr>
                <w:color w:val="000000"/>
                <w:sz w:val="20"/>
                <w:szCs w:val="20"/>
              </w:rPr>
              <w:t>и :</w:t>
            </w:r>
            <w:r>
              <w:rPr>
                <w:color w:val="000000"/>
                <w:sz w:val="20"/>
                <w:szCs w:val="20"/>
              </w:rPr>
              <w:br/>
              <w:t>Затвердити Звiт Правлiння про результати фiнансово-господарської дiяльностi Товариства за 2012 рiк.</w:t>
            </w:r>
            <w:r>
              <w:rPr>
                <w:color w:val="000000"/>
                <w:sz w:val="20"/>
                <w:szCs w:val="20"/>
              </w:rPr>
              <w:br/>
              <w:t>З третього питання порядку денного</w:t>
            </w:r>
            <w:r>
              <w:rPr>
                <w:color w:val="000000"/>
                <w:sz w:val="20"/>
                <w:szCs w:val="20"/>
              </w:rPr>
              <w:br/>
              <w:t>Вирiшили :</w:t>
            </w:r>
            <w:r>
              <w:rPr>
                <w:color w:val="000000"/>
                <w:sz w:val="20"/>
                <w:szCs w:val="20"/>
              </w:rPr>
              <w:br/>
              <w:t>Затвердити Звiт Наглядової ради Товариства за 2012 рiк.</w:t>
            </w:r>
            <w:r>
              <w:rPr>
                <w:color w:val="000000"/>
                <w:sz w:val="20"/>
                <w:szCs w:val="20"/>
              </w:rPr>
              <w:br/>
              <w:t>З четвертого питання порядку денного</w:t>
            </w:r>
            <w:r>
              <w:rPr>
                <w:color w:val="000000"/>
                <w:sz w:val="20"/>
                <w:szCs w:val="20"/>
              </w:rPr>
              <w:br/>
              <w:t>Вирiшили :</w:t>
            </w:r>
            <w:r>
              <w:rPr>
                <w:color w:val="000000"/>
                <w:sz w:val="20"/>
                <w:szCs w:val="20"/>
              </w:rPr>
              <w:br/>
              <w:t>За</w:t>
            </w:r>
            <w:r>
              <w:rPr>
                <w:color w:val="000000"/>
                <w:sz w:val="20"/>
                <w:szCs w:val="20"/>
              </w:rPr>
              <w:t>твердити Звiт Ревiзiйної комiсiї про результати господарської дiяльностi Товариства за 2012 рiк.</w:t>
            </w:r>
            <w:r>
              <w:rPr>
                <w:color w:val="000000"/>
                <w:sz w:val="20"/>
                <w:szCs w:val="20"/>
              </w:rPr>
              <w:br/>
              <w:t>З п'ятого питання порядку денного</w:t>
            </w:r>
            <w:r>
              <w:rPr>
                <w:color w:val="000000"/>
                <w:sz w:val="20"/>
                <w:szCs w:val="20"/>
              </w:rPr>
              <w:br/>
              <w:t>Вирiшили:</w:t>
            </w:r>
            <w:r>
              <w:rPr>
                <w:color w:val="000000"/>
                <w:sz w:val="20"/>
                <w:szCs w:val="20"/>
              </w:rPr>
              <w:br/>
              <w:t>Затвердити рiчний звiт i баланс Товариства за 2012 рiк. Збiльшити обсяг послуг, що надаються для покриття збитку То</w:t>
            </w:r>
            <w:r>
              <w:rPr>
                <w:color w:val="000000"/>
                <w:sz w:val="20"/>
                <w:szCs w:val="20"/>
              </w:rPr>
              <w:t>вариства за 2012 рiк.</w:t>
            </w:r>
            <w:r>
              <w:rPr>
                <w:color w:val="000000"/>
                <w:sz w:val="20"/>
                <w:szCs w:val="20"/>
              </w:rPr>
              <w:br/>
              <w:t>З шостого питання порядку денного</w:t>
            </w:r>
            <w:r>
              <w:rPr>
                <w:color w:val="000000"/>
                <w:sz w:val="20"/>
                <w:szCs w:val="20"/>
              </w:rPr>
              <w:br/>
              <w:t>Вирiшили:</w:t>
            </w:r>
            <w:r>
              <w:rPr>
                <w:color w:val="000000"/>
                <w:sz w:val="20"/>
                <w:szCs w:val="20"/>
              </w:rPr>
              <w:br/>
              <w:t>Затвердити основнi напрямки дiяльностi Товариства.</w:t>
            </w:r>
            <w:r>
              <w:rPr>
                <w:color w:val="000000"/>
                <w:sz w:val="20"/>
                <w:szCs w:val="20"/>
              </w:rPr>
              <w:br/>
              <w:t>Спрямувати отриманий у 2013 роцi чистий прибуток на розвиток та розширення дiяльностi, на оновлення основних засобiв пiдприємства.</w:t>
            </w:r>
            <w:r>
              <w:rPr>
                <w:color w:val="000000"/>
                <w:sz w:val="20"/>
                <w:szCs w:val="20"/>
              </w:rPr>
              <w:br/>
              <w:t>Оголошен</w:t>
            </w:r>
            <w:r>
              <w:rPr>
                <w:color w:val="000000"/>
                <w:sz w:val="20"/>
                <w:szCs w:val="20"/>
              </w:rPr>
              <w:t>а перерва в зборах до 11:00 год. 24 квiтня 2013 року.</w:t>
            </w:r>
            <w:r>
              <w:rPr>
                <w:color w:val="000000"/>
                <w:sz w:val="20"/>
                <w:szCs w:val="20"/>
              </w:rPr>
              <w:br/>
              <w:t>Роботу зборiв продовжено об 11:00 год. 24 квiтня 2013 року.</w:t>
            </w:r>
            <w:r>
              <w:rPr>
                <w:color w:val="000000"/>
                <w:sz w:val="20"/>
                <w:szCs w:val="20"/>
              </w:rPr>
              <w:br/>
              <w:t>З сьомого питання порядку денного</w:t>
            </w:r>
            <w:r>
              <w:rPr>
                <w:color w:val="000000"/>
                <w:sz w:val="20"/>
                <w:szCs w:val="20"/>
              </w:rPr>
              <w:br/>
              <w:t>Вирiшили:</w:t>
            </w:r>
            <w:r>
              <w:rPr>
                <w:color w:val="000000"/>
                <w:sz w:val="20"/>
                <w:szCs w:val="20"/>
              </w:rPr>
              <w:br/>
              <w:t>Збiльшити розмiр статутного капiталу ПАТ «Готель «Подiлля» на 406 300 гривень шляхом збiльшення кi</w:t>
            </w:r>
            <w:r>
              <w:rPr>
                <w:color w:val="000000"/>
                <w:sz w:val="20"/>
                <w:szCs w:val="20"/>
              </w:rPr>
              <w:t>лькостi акцiй iснуючої номiнальної вартостi за рахунок додаткових внескiв.</w:t>
            </w:r>
            <w:r>
              <w:rPr>
                <w:color w:val="000000"/>
                <w:sz w:val="20"/>
                <w:szCs w:val="20"/>
              </w:rPr>
              <w:br/>
              <w:t>Розмiстити додатково 1625200 (один мiлiон шiстсот двадцять п’ять тисяч двiстi) простих iменних акцiй ПАТ «Готель «Подiлля» для формування збiльшення статутного фонду шляхом закритог</w:t>
            </w:r>
            <w:r>
              <w:rPr>
                <w:color w:val="000000"/>
                <w:sz w:val="20"/>
                <w:szCs w:val="20"/>
              </w:rPr>
              <w:t xml:space="preserve">о </w:t>
            </w:r>
            <w:r>
              <w:rPr>
                <w:color w:val="000000"/>
                <w:sz w:val="20"/>
                <w:szCs w:val="20"/>
              </w:rPr>
              <w:lastRenderedPageBreak/>
              <w:t>(приватного) розмiщення акцiй.</w:t>
            </w:r>
            <w:r>
              <w:rPr>
                <w:color w:val="000000"/>
                <w:sz w:val="20"/>
                <w:szCs w:val="20"/>
              </w:rPr>
              <w:br/>
              <w:t>Обмежити коло осiб, якi мають право прийняти участь в придбаннi акцiй, що пропонуються до закритого (приватного) розмiщення, акцiонерами, якi мають переважне право вiдповiдно до чинного законодавства.</w:t>
            </w:r>
            <w:r>
              <w:rPr>
                <w:color w:val="000000"/>
                <w:sz w:val="20"/>
                <w:szCs w:val="20"/>
              </w:rPr>
              <w:br/>
              <w:t>Визначити уповноважени</w:t>
            </w:r>
            <w:r>
              <w:rPr>
                <w:color w:val="000000"/>
                <w:sz w:val="20"/>
                <w:szCs w:val="20"/>
              </w:rPr>
              <w:t>м органом по проведенню розмiщень акцiй, що випускаються додатково – правлiння товариства.</w:t>
            </w:r>
            <w:r>
              <w:rPr>
                <w:color w:val="000000"/>
                <w:sz w:val="20"/>
                <w:szCs w:val="20"/>
              </w:rPr>
              <w:br/>
              <w:t>Визначити уповноваженими особами емiтента голову правлiння Скрипку I.I., головного бухгалтера Кiзiцьку Г.В. – яким надаються повноваження:</w:t>
            </w:r>
            <w:r>
              <w:rPr>
                <w:color w:val="000000"/>
                <w:sz w:val="20"/>
                <w:szCs w:val="20"/>
              </w:rPr>
              <w:br/>
              <w:t>Здiйснювати персональне по</w:t>
            </w:r>
            <w:r>
              <w:rPr>
                <w:color w:val="000000"/>
                <w:sz w:val="20"/>
                <w:szCs w:val="20"/>
              </w:rPr>
              <w:t>вiдомлення акцiонерiв та опублiкування цього повiдомлення, про прийнятi загальними зборами акцiонерiв рiшення;</w:t>
            </w:r>
            <w:r>
              <w:rPr>
                <w:color w:val="000000"/>
                <w:sz w:val="20"/>
                <w:szCs w:val="20"/>
              </w:rPr>
              <w:br/>
              <w:t>Проводити дiї щодо реалiзацiї акцiонерами свого переважного права на придбання акцiй, вiдповiдно до яких прийнято рiшення про розмiщення;</w:t>
            </w:r>
            <w:r>
              <w:rPr>
                <w:color w:val="000000"/>
                <w:sz w:val="20"/>
                <w:szCs w:val="20"/>
              </w:rPr>
              <w:br/>
              <w:t>Проводи</w:t>
            </w:r>
            <w:r>
              <w:rPr>
                <w:color w:val="000000"/>
                <w:sz w:val="20"/>
                <w:szCs w:val="20"/>
              </w:rPr>
              <w:t>ти дiї щодо вiдкритого (публiчного) розмiщення акцiй.</w:t>
            </w:r>
            <w:r>
              <w:rPr>
                <w:color w:val="000000"/>
                <w:sz w:val="20"/>
                <w:szCs w:val="20"/>
              </w:rPr>
              <w:br/>
              <w:t>Затвердити протокол рiшення про збiльшення статутного фонду.</w:t>
            </w:r>
            <w:r>
              <w:rPr>
                <w:color w:val="000000"/>
                <w:sz w:val="20"/>
                <w:szCs w:val="20"/>
              </w:rPr>
              <w:br/>
              <w:t>Затвердити протокол рiшення про розмiщення акцiй та про визначення уповноважених осiб.</w:t>
            </w:r>
            <w:r>
              <w:rPr>
                <w:color w:val="000000"/>
                <w:sz w:val="20"/>
                <w:szCs w:val="20"/>
              </w:rPr>
              <w:br/>
              <w:t>Доручити головi правлiння Скрипцi I.I, головному бухга</w:t>
            </w:r>
            <w:r>
              <w:rPr>
                <w:color w:val="000000"/>
                <w:sz w:val="20"/>
                <w:szCs w:val="20"/>
              </w:rPr>
              <w:t>лтеру Кiзiцькiй Г.В. надiслати рiшення про розмiщення акцiй держателям iменних акцiй ПАТ «Готель «Подiлля» вiдповiдно до реєстру акцiонерiв, розмiстити повiдомлення в газетi та провести процедуру реєстрацiї емiсiї в ДКЦПФР.</w:t>
            </w:r>
            <w:r>
              <w:rPr>
                <w:color w:val="000000"/>
                <w:sz w:val="20"/>
                <w:szCs w:val="20"/>
              </w:rPr>
              <w:br/>
              <w:t>З восьмого питання порядку денно</w:t>
            </w:r>
            <w:r>
              <w:rPr>
                <w:color w:val="000000"/>
                <w:sz w:val="20"/>
                <w:szCs w:val="20"/>
              </w:rPr>
              <w:t>го</w:t>
            </w:r>
            <w:r>
              <w:rPr>
                <w:color w:val="000000"/>
                <w:sz w:val="20"/>
                <w:szCs w:val="20"/>
              </w:rPr>
              <w:br/>
              <w:t>Вирiшили:</w:t>
            </w:r>
            <w:r>
              <w:rPr>
                <w:color w:val="000000"/>
                <w:sz w:val="20"/>
                <w:szCs w:val="20"/>
              </w:rPr>
              <w:br/>
              <w:t>Обрати головою правлiння ПАТ " Готель “ Подiлля “ - Скрипку Iвана Iвановича.</w:t>
            </w:r>
            <w:r>
              <w:rPr>
                <w:color w:val="000000"/>
                <w:sz w:val="20"/>
                <w:szCs w:val="20"/>
              </w:rPr>
              <w:br/>
              <w:t>Вирiшили:</w:t>
            </w:r>
            <w:r>
              <w:rPr>
                <w:color w:val="000000"/>
                <w:sz w:val="20"/>
                <w:szCs w:val="20"/>
              </w:rPr>
              <w:br/>
              <w:t>Залишити членами правлiння ПАТ “ Готель “ Подiлля“:</w:t>
            </w:r>
            <w:r>
              <w:rPr>
                <w:color w:val="000000"/>
                <w:sz w:val="20"/>
                <w:szCs w:val="20"/>
              </w:rPr>
              <w:br/>
              <w:t>1.Кiзiцька Галина Володимирiвна Головний бухгалтер готелю «Подiлля»</w:t>
            </w:r>
            <w:r>
              <w:rPr>
                <w:color w:val="000000"/>
                <w:sz w:val="20"/>
                <w:szCs w:val="20"/>
              </w:rPr>
              <w:br/>
              <w:t>2.Бiра Раїса Володимирiвна Адмiнiстр</w:t>
            </w:r>
            <w:r>
              <w:rPr>
                <w:color w:val="000000"/>
                <w:sz w:val="20"/>
                <w:szCs w:val="20"/>
              </w:rPr>
              <w:t>атор готелю «Подiлля»</w:t>
            </w:r>
            <w:r>
              <w:rPr>
                <w:color w:val="000000"/>
                <w:sz w:val="20"/>
                <w:szCs w:val="20"/>
              </w:rPr>
              <w:br/>
              <w:t>3.Дмитришина Раїса Миколаївна Адмiнiстратор готелю «Подiлля»</w:t>
            </w:r>
            <w:r>
              <w:rPr>
                <w:color w:val="000000"/>
                <w:sz w:val="20"/>
                <w:szCs w:val="20"/>
              </w:rPr>
              <w:br/>
              <w:t xml:space="preserve">4.Похило Олена Вiталiївна Завiдуюча поверхами готелю «Подiлля» </w:t>
            </w:r>
            <w:r>
              <w:rPr>
                <w:color w:val="000000"/>
                <w:sz w:val="20"/>
                <w:szCs w:val="20"/>
              </w:rPr>
              <w:br/>
              <w:t>Вирiшили:</w:t>
            </w:r>
            <w:r>
              <w:rPr>
                <w:color w:val="000000"/>
                <w:sz w:val="20"/>
                <w:szCs w:val="20"/>
              </w:rPr>
              <w:br/>
              <w:t>Обрати членами Наглядової ради ПАТ “ Готель “ Подiлля“:</w:t>
            </w:r>
            <w:r>
              <w:rPr>
                <w:color w:val="000000"/>
                <w:sz w:val="20"/>
                <w:szCs w:val="20"/>
              </w:rPr>
              <w:br/>
              <w:t>1.Скрипка Валентина Iванiвна</w:t>
            </w:r>
            <w:r>
              <w:rPr>
                <w:color w:val="000000"/>
                <w:sz w:val="20"/>
                <w:szCs w:val="20"/>
              </w:rPr>
              <w:br/>
              <w:t>2.Сопiльняк Вi</w:t>
            </w:r>
            <w:r>
              <w:rPr>
                <w:color w:val="000000"/>
                <w:sz w:val="20"/>
                <w:szCs w:val="20"/>
              </w:rPr>
              <w:t>ктор Володимирович</w:t>
            </w:r>
            <w:r>
              <w:rPr>
                <w:color w:val="000000"/>
                <w:sz w:val="20"/>
                <w:szCs w:val="20"/>
              </w:rPr>
              <w:br/>
              <w:t>3.Куян Наталя Леонiдiвна</w:t>
            </w:r>
            <w:r>
              <w:rPr>
                <w:color w:val="000000"/>
                <w:sz w:val="20"/>
                <w:szCs w:val="20"/>
              </w:rPr>
              <w:br/>
              <w:t>Вирiшили:</w:t>
            </w:r>
            <w:r>
              <w:rPr>
                <w:color w:val="000000"/>
                <w:sz w:val="20"/>
                <w:szCs w:val="20"/>
              </w:rPr>
              <w:br/>
              <w:t>Обрати членами Ревiзiйної комiсiї:</w:t>
            </w:r>
            <w:r>
              <w:rPr>
                <w:color w:val="000000"/>
                <w:sz w:val="20"/>
                <w:szCs w:val="20"/>
              </w:rPr>
              <w:br/>
              <w:t>1.Гнатюк Iрина Степанiвна</w:t>
            </w:r>
            <w:r>
              <w:rPr>
                <w:color w:val="000000"/>
                <w:sz w:val="20"/>
                <w:szCs w:val="20"/>
              </w:rPr>
              <w:br/>
              <w:t>2.Скрипка Наталя Василiвна</w:t>
            </w:r>
            <w:r>
              <w:rPr>
                <w:color w:val="000000"/>
                <w:sz w:val="20"/>
                <w:szCs w:val="20"/>
              </w:rPr>
              <w:br/>
              <w:t>3.Цвяк Вiктор Васильович</w:t>
            </w:r>
            <w:r>
              <w:rPr>
                <w:color w:val="000000"/>
                <w:sz w:val="20"/>
                <w:szCs w:val="20"/>
              </w:rPr>
              <w:br/>
            </w:r>
          </w:p>
        </w:tc>
      </w:tr>
    </w:tbl>
    <w:p w:rsidR="00000000" w:rsidRDefault="00EB1252">
      <w:pPr>
        <w:rPr>
          <w:color w:val="000000"/>
        </w:rPr>
      </w:pPr>
    </w:p>
    <w:p w:rsidR="00000000" w:rsidRDefault="00EB1252">
      <w:pPr>
        <w:rPr>
          <w:color w:val="000000"/>
        </w:rPr>
        <w:sectPr w:rsidR="00000000">
          <w:pgSz w:w="11907" w:h="16840"/>
          <w:pgMar w:top="1134" w:right="851" w:bottom="851" w:left="851" w:header="0" w:footer="0" w:gutter="0"/>
          <w:cols w:space="720"/>
        </w:sectPr>
      </w:pPr>
    </w:p>
    <w:p w:rsidR="00000000" w:rsidRDefault="00EB1252">
      <w:pPr>
        <w:pStyle w:val="3"/>
        <w:rPr>
          <w:color w:val="000000"/>
        </w:rPr>
      </w:pPr>
      <w:r>
        <w:rPr>
          <w:color w:val="000000"/>
        </w:rPr>
        <w:lastRenderedPageBreak/>
        <w:t xml:space="preserve">IX. Інформація про </w:t>
      </w:r>
      <w:r>
        <w:rPr>
          <w:color w:val="000000"/>
        </w:rPr>
        <w:t>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Товариство з обмеженою вiдповiдальнiстю "Фондова компанiя "ЦЕНТР-IНВЕСТ"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21653380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29000 Україна Хмельницька Хмельницький м. Хмельницький вул.Володимирська, 109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АВ № 390863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Назва державного органу</w:t>
            </w:r>
            <w:r>
              <w:rPr>
                <w:b/>
                <w:bCs/>
                <w:color w:val="000000"/>
                <w:sz w:val="20"/>
                <w:szCs w:val="20"/>
              </w:rPr>
              <w:t>,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21.01.2010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0382-70-21-64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0382-70-21-64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Юридична особа, яка здiйснює професiйну депозитарну дiяльнiсть зберiгача цiнних паперiв.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 зберiгача ТОВ "Фондова компанiя "ЦЕНТР-IНВЕСТ" вiдкритi рахунки акцiонерам товариства в процесi дематерiалiзацiї випуску цiнних паперiв товариства.</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Повне н</w:t>
            </w:r>
            <w:r>
              <w:rPr>
                <w:b/>
                <w:bCs/>
                <w:color w:val="000000"/>
                <w:sz w:val="20"/>
                <w:szCs w:val="20"/>
              </w:rPr>
              <w:t>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Приватна аудиторська фiрма "Аудит-Подiлля"</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Приватне підприємство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32179801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29015 Україна Хмельницька </w:t>
            </w:r>
            <w:r>
              <w:rPr>
                <w:color w:val="000000"/>
                <w:sz w:val="20"/>
                <w:szCs w:val="20"/>
              </w:rPr>
              <w:t>Хмельницький м. Хмельницький Проспект Миру, 101/а, офiс 210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3069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Аудиторська палата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31.10.2002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0382-71-50-07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0382-71-50-07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Аудитор (аудиторська фiрма), яка надає аудиторськi послуги емiтенту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Аудиторська дiяльнiсть</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Повне найменування юридичної особи або прізвище, ім'я та по батьков</w:t>
            </w:r>
            <w:r>
              <w:rPr>
                <w:b/>
                <w:bCs/>
                <w:color w:val="000000"/>
                <w:sz w:val="20"/>
                <w:szCs w:val="20"/>
              </w:rPr>
              <w:t>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Публiчне акцiонерне товарисвто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01001 Україна Київська Київський м.Київ вул. Б.Грiнченка, 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АВ №581322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lastRenderedPageBreak/>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25.05.2011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Міжміський код т</w:t>
            </w:r>
            <w:r>
              <w:rPr>
                <w:b/>
                <w:bCs/>
                <w:color w:val="000000"/>
                <w:sz w:val="20"/>
                <w:szCs w:val="20"/>
              </w:rPr>
              <w:t>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044-377-70-16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044-377-70-16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Юридична особа, яка здiйснює професiйну депозитарну дiяльнiсть депозитарiю iменних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 депозитарiї ПАТ "НДУ" депоновано глобальний сертифiкат випуску цiнних паперiв емiтента.</w:t>
            </w:r>
          </w:p>
        </w:tc>
      </w:tr>
    </w:tbl>
    <w:p w:rsidR="00000000" w:rsidRDefault="00EB1252">
      <w:pPr>
        <w:rPr>
          <w:color w:val="000000"/>
        </w:rPr>
      </w:pPr>
    </w:p>
    <w:p w:rsidR="00000000" w:rsidRDefault="00EB1252">
      <w:pPr>
        <w:rPr>
          <w:color w:val="000000"/>
        </w:rPr>
        <w:sectPr w:rsidR="00000000">
          <w:pgSz w:w="11907" w:h="16840"/>
          <w:pgMar w:top="1134" w:right="851" w:bottom="851" w:left="851" w:header="0" w:footer="0" w:gutter="0"/>
          <w:cols w:space="720"/>
        </w:sectPr>
      </w:pPr>
    </w:p>
    <w:p w:rsidR="00000000" w:rsidRDefault="00EB1252">
      <w:pPr>
        <w:pStyle w:val="3"/>
        <w:rPr>
          <w:color w:val="000000"/>
        </w:rPr>
      </w:pPr>
      <w:r>
        <w:rPr>
          <w:color w:val="000000"/>
        </w:rPr>
        <w:lastRenderedPageBreak/>
        <w:t>X. Відомості про цінні папери емітента</w:t>
      </w:r>
    </w:p>
    <w:p w:rsidR="00000000" w:rsidRDefault="00EB1252">
      <w:pPr>
        <w:pStyle w:val="4"/>
        <w:rPr>
          <w:color w:val="000000"/>
        </w:rPr>
      </w:pPr>
      <w:r>
        <w:rPr>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51"/>
        <w:gridCol w:w="1382"/>
        <w:gridCol w:w="1751"/>
        <w:gridCol w:w="1913"/>
        <w:gridCol w:w="1748"/>
        <w:gridCol w:w="1730"/>
        <w:gridCol w:w="1388"/>
        <w:gridCol w:w="1115"/>
        <w:gridCol w:w="1379"/>
        <w:gridCol w:w="141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Форма</w:t>
            </w:r>
            <w:r>
              <w:rPr>
                <w:b/>
                <w:bCs/>
                <w:color w:val="000000"/>
                <w:sz w:val="20"/>
                <w:szCs w:val="20"/>
              </w:rPr>
              <w:t xml:space="preserve">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30.01.2009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01/22/1/09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Хмельницьке ТУ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UA 4000144364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7344760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100.000000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rStyle w:val="a4"/>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Торгiвля цiнними паперами емiтента на органiзованих внутрiшнiх та зовнiшнiх ринках не здiйснюється. Цiннi папери емiтента не проходили процедуру лiстингу/делiстингу. Додаткова емiсiя не здiйснювалася.</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w:t>
            </w:r>
          </w:p>
        </w:tc>
      </w:tr>
    </w:tbl>
    <w:p w:rsidR="00000000" w:rsidRDefault="00EB1252">
      <w:pPr>
        <w:rPr>
          <w:color w:val="000000"/>
        </w:rPr>
        <w:sectPr w:rsidR="00000000">
          <w:pgSz w:w="16840" w:h="11907" w:orient="landscape"/>
          <w:pgMar w:top="1134" w:right="1134" w:bottom="851" w:left="851" w:header="0" w:footer="0" w:gutter="0"/>
          <w:cols w:space="720"/>
        </w:sectPr>
      </w:pPr>
    </w:p>
    <w:p w:rsidR="00000000" w:rsidRDefault="00EB1252">
      <w:pPr>
        <w:pStyle w:val="3"/>
        <w:rPr>
          <w:color w:val="000000"/>
        </w:rPr>
      </w:pPr>
      <w:r>
        <w:rPr>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Готель "Подiлля" засновано як державне пiдприємство в 1986 роцi. Спочатку було утворено комплекс "Подiлля" у складi готелю та ресторану. Згiдно рiшення Хмельницької мiської ради народних депутатiв в 1990 роцi було утворено два окремих пiдп</w:t>
            </w:r>
            <w:r>
              <w:rPr>
                <w:color w:val="000000"/>
              </w:rPr>
              <w:t>риємства: готель "Подiлля" i ресторан "Подiлля". Основною задачею готелю "Подiлля" було готельне обслуговування та послуги громадського харчування. В 1995 роцi пiдприємство було перетворенеув орендне, а в 1996 роцi, в процесi приватизацiї, перетворене у вi</w:t>
            </w:r>
            <w:r>
              <w:rPr>
                <w:color w:val="000000"/>
              </w:rPr>
              <w:t>дкрите акцiонерне товариство. З 09.11.2011 Товариство переiменовано на Публiчне акцiонерне товариство "Готель"Подiлля".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 xml:space="preserve">ПАТ "Готель"Подiлля" складається iз слiдуючих структурних пiдроздiлiв : </w:t>
            </w:r>
            <w:r>
              <w:rPr>
                <w:color w:val="000000"/>
              </w:rPr>
              <w:br/>
              <w:t>- готель,</w:t>
            </w:r>
            <w:r>
              <w:rPr>
                <w:color w:val="000000"/>
              </w:rPr>
              <w:br/>
            </w:r>
            <w:r>
              <w:rPr>
                <w:color w:val="000000"/>
              </w:rPr>
              <w:t>- пiдроздiл громадського харчування та роздрiбної торговлi.</w:t>
            </w:r>
            <w:r>
              <w:rPr>
                <w:color w:val="000000"/>
              </w:rPr>
              <w:br/>
              <w:t>Дочiрнiх пiдприємств,фiлiй у структурi ПАТ "Готель"Подiлля"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Середньооблiкова чисельнiсть штатних працiвникiв облiкового складу за звiтний перiод складає 81 особи. Середньооблiкова чисельнiсть позаштатних працiвникiв та осiб, якi працюють за сумiсництвом - 1 особи.</w:t>
            </w:r>
            <w:r>
              <w:rPr>
                <w:color w:val="000000"/>
              </w:rPr>
              <w:br/>
              <w:t>Працiвникiв, якi працюють на умовах неповного робоч</w:t>
            </w:r>
            <w:r>
              <w:rPr>
                <w:color w:val="000000"/>
              </w:rPr>
              <w:t>ого часу не має.</w:t>
            </w:r>
            <w:r>
              <w:rPr>
                <w:color w:val="000000"/>
              </w:rPr>
              <w:br/>
              <w:t>Фонд оплати працi за звiтний перiод 1592,9 тис.грн. Вiдносно попереднього року фонд оплати працi збiльшився в 1,2 рази.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Протягом звiтного перiоду будь-яких пропозицiй щодо реорганiзацiї товариства з боку третiх осiб не надхо</w:t>
            </w:r>
            <w:r>
              <w:rPr>
                <w:color w:val="000000"/>
              </w:rPr>
              <w:t>дило.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Фiнансова звiтнiсть пiдприємства була пiдготовлена шляхом трансормацiї бухгалтерських звiтiв, що складенi за 2011 рiк вiдповiдно до Наказу Мiнiстерства фiнансiв України щодо складу та порядку заповнення рiчного звiту пiдприємства, з дотриманням с</w:t>
            </w:r>
            <w:r>
              <w:rPr>
                <w:color w:val="000000"/>
              </w:rPr>
              <w:t>хвалених ДКЦПФР Методичних рекомендацiй з трансформацiї бухгалтерської звiтностi вiдкритих акцiонерних товариств та пiдприємств-емiтентiв облiгацiй у фiнансову звiтнiсть за МСБО. Нарахування амортизацiї основних засобiв проводиться у вiдповiдностi з україн</w:t>
            </w:r>
            <w:r>
              <w:rPr>
                <w:color w:val="000000"/>
              </w:rPr>
              <w:t>ським законодавством. До 01.07.1997 року нарахування проводилось прямолiнiйно за єдиними, встановленими державою нормами. З 01.08.1997 року амортизацiя нараховується методом зменшення залишку, щляхом використання норм до залишкової вартостi основних засобi</w:t>
            </w:r>
            <w:r>
              <w:rPr>
                <w:color w:val="000000"/>
              </w:rPr>
              <w:t>в на початок звiтного перiоду. Строк, протягом якого здiйснюється нарахування амортизацiї згiдно з встановленими державою методами та нормами є бiльшим, нiж строк корисного використання активiв. Запаси включають сировину та матерiали, паливо, запаснi части</w:t>
            </w:r>
            <w:r>
              <w:rPr>
                <w:color w:val="000000"/>
              </w:rPr>
              <w:t>ни, тару, товари для продажу, МШП на складi. Запаси облiковуються за собiвартiстю, собiвартiсть запасiв включає витрати на придбання, доставку та переробку.</w:t>
            </w:r>
            <w:r>
              <w:rPr>
                <w:color w:val="000000"/>
              </w:rPr>
              <w:br/>
              <w:t xml:space="preserve">АУДИТОРСЬКИЙ ВИСНОВОК </w:t>
            </w:r>
            <w:r>
              <w:rPr>
                <w:color w:val="000000"/>
              </w:rPr>
              <w:br/>
              <w:t>(ЗВIТ НЕЗАЛЕЖНОГО АУДИТОРА)</w:t>
            </w:r>
            <w:r>
              <w:rPr>
                <w:color w:val="000000"/>
              </w:rPr>
              <w:br/>
              <w:t>щодо фiнансової звiтностi публiчного акцiонерног</w:t>
            </w:r>
            <w:r>
              <w:rPr>
                <w:color w:val="000000"/>
              </w:rPr>
              <w:t xml:space="preserve">о товариства </w:t>
            </w:r>
            <w:r>
              <w:rPr>
                <w:color w:val="000000"/>
              </w:rPr>
              <w:br/>
              <w:t>“Готель Подiлля” станом на 31 грудня 2014 року</w:t>
            </w:r>
            <w:r>
              <w:rPr>
                <w:color w:val="000000"/>
              </w:rPr>
              <w:br/>
              <w:t>Адресат:</w:t>
            </w:r>
            <w:r>
              <w:rPr>
                <w:color w:val="000000"/>
              </w:rPr>
              <w:br/>
              <w:t xml:space="preserve">Звiт незалежного аудитора призначається для власникiв цiнних паперiв та керiвництва суб'єкту господарювання, фiнансовий звiт якого перевiряється i може бути використаний для подання до </w:t>
            </w:r>
            <w:r>
              <w:rPr>
                <w:color w:val="000000"/>
              </w:rPr>
              <w:lastRenderedPageBreak/>
              <w:t>Н</w:t>
            </w:r>
            <w:r>
              <w:rPr>
                <w:color w:val="000000"/>
              </w:rPr>
              <w:t>ацiональної комiсiї з цiнних паперiв та фондового ринку при розкриттi iнформацiї емiтентом.</w:t>
            </w:r>
            <w:r>
              <w:rPr>
                <w:color w:val="000000"/>
              </w:rPr>
              <w:br/>
              <w:t>ЗВIТ ЩОДО ФIНАНСОВОЇ ЗВIТНОСТI ЗА МСФЗ</w:t>
            </w:r>
            <w:r>
              <w:rPr>
                <w:color w:val="000000"/>
              </w:rPr>
              <w:br/>
              <w:t>Основнi вiдомостi про проведення аудиту</w:t>
            </w:r>
            <w:r>
              <w:rPr>
                <w:color w:val="000000"/>
              </w:rPr>
              <w:br/>
              <w:t>Згiдно договору на проведення аудиту (аудиторської перевiрки) № 22-аудит вiд 26 грудн</w:t>
            </w:r>
            <w:r>
              <w:rPr>
                <w:color w:val="000000"/>
              </w:rPr>
              <w:t>я 2014 року мiж ПАФ “Аудит-Подiлля” та ПАТ “Готель Подiлля” про достовiрнiсть та повноту фiнансової звiтностi, ми провели аудит фiнансової звiтностi ПАТ “Готель Подiлля”, що додається, яка складається зi звiту про фiнансовий стан на 31.12.2014 року та вiдп</w:t>
            </w:r>
            <w:r>
              <w:rPr>
                <w:color w:val="000000"/>
              </w:rPr>
              <w:t>овiдних звiтiв про сукупний дохiд, рух грошових коштiв та власний капiтал за рiк, який закiнчився цiєю датою, а також з стислого викладу суттєвих принципiв облiкової полiтики та iнших примiток.</w:t>
            </w:r>
            <w:r>
              <w:rPr>
                <w:color w:val="000000"/>
              </w:rPr>
              <w:br/>
              <w:t>Вiдповiдальнiсть управлiнського персоналу за фiнансову звiтнiс</w:t>
            </w:r>
            <w:r>
              <w:rPr>
                <w:color w:val="000000"/>
              </w:rPr>
              <w:t>ть</w:t>
            </w:r>
            <w:r>
              <w:rPr>
                <w:color w:val="000000"/>
              </w:rPr>
              <w:br/>
              <w:t>Управлiнський персонал несе вiдповiдальнiсть за складання i достовiрне подання цiєї фiнансової звiтностi вiдповiдно до Мiжнародних стандартiв фiнансової звiтностi, а також за такий внутрiшнiй контроль, який вiн визначає потрiбним для того, щоб забезпечи</w:t>
            </w:r>
            <w:r>
              <w:rPr>
                <w:color w:val="000000"/>
              </w:rPr>
              <w:t>ти складання фiнансової звiтностi, що не мiстить суттєвих викривлень унаслiдок шахрайства або помилки.</w:t>
            </w:r>
            <w:r>
              <w:rPr>
                <w:color w:val="000000"/>
              </w:rPr>
              <w:br/>
              <w:t>Вiдповiдальнiсть аудитора</w:t>
            </w:r>
            <w:r>
              <w:rPr>
                <w:color w:val="000000"/>
              </w:rPr>
              <w:br/>
              <w:t>Нашою вiдповiдальнiстю є висловлення думки щодо цiєї фiнансової звiтностi на основi результатiв проведеного нами аудиту. Ми про</w:t>
            </w:r>
            <w:r>
              <w:rPr>
                <w:color w:val="000000"/>
              </w:rPr>
              <w:t>вели аудит вiдповiдно до Мiжнародних стандартiв контролю якостi, аудиту, огляду, iншого надання впевненостi та супутнiх послуг. Цi стандарти вимагають вiд нас дотримання етичних вимог, а також планування й виконання аудиту для отримання достатньої впевнено</w:t>
            </w:r>
            <w:r>
              <w:rPr>
                <w:color w:val="000000"/>
              </w:rPr>
              <w:t xml:space="preserve">стi, що фiнансовi звiти не мiстять суттєвих викривлень. </w:t>
            </w:r>
            <w:r>
              <w:rPr>
                <w:color w:val="000000"/>
              </w:rPr>
              <w:br/>
              <w:t xml:space="preserve">Ми вважаємо, що отримали достатнi i належнi аудиторськi докази для висловлення нашої думки. </w:t>
            </w:r>
            <w:r>
              <w:rPr>
                <w:color w:val="000000"/>
              </w:rPr>
              <w:br/>
              <w:t>Пiдстава для висловлення умовно-позитивної думки</w:t>
            </w:r>
            <w:r>
              <w:rPr>
                <w:color w:val="000000"/>
              </w:rPr>
              <w:br/>
              <w:t xml:space="preserve">Ми не спостерiгали за проведенням iнвентаризацiї наявних </w:t>
            </w:r>
            <w:r>
              <w:rPr>
                <w:color w:val="000000"/>
              </w:rPr>
              <w:t>активiв i зобов’язань товариства станом на 31.12.2014 р., оскiльки дата її проведення передувала датi укладення договору на проведення аудиту i нашому призначенню аудитором пiдприємства. Однак у ПАТ “Готель Подiлля” цю процедуру виконувала iнвентаризацiйна</w:t>
            </w:r>
            <w:r>
              <w:rPr>
                <w:color w:val="000000"/>
              </w:rPr>
              <w:t xml:space="preserve"> комiсiя, якiй висловлено довiру, згiдно вимог МСА. Аудитором були виконанi процедури, якi обґрунтовують думку, що активи та зобов’язання наявнi.</w:t>
            </w:r>
            <w:r>
              <w:rPr>
                <w:color w:val="000000"/>
              </w:rPr>
              <w:br/>
              <w:t>Фiнансова звiтнiсть ПАТ “Готель Подiлля”, закiнчуючи роком, що завершився 31 грудня 2011 р., складалась вiдпов</w:t>
            </w:r>
            <w:r>
              <w:rPr>
                <w:color w:val="000000"/>
              </w:rPr>
              <w:t>iдно до вимог Закону України “Про бухгалтерський облiк та фiнансову звiтнiсть в Українi” та нацiональних Положень (стандартiв) бухгалтерського облiку. Акцiонерне товариство визначило дату переходу на МСФЗ – 01 сiчня 2012 року. Фiнансова звiтнiсть станом на</w:t>
            </w:r>
            <w:r>
              <w:rPr>
                <w:color w:val="000000"/>
              </w:rPr>
              <w:t xml:space="preserve"> 31.12.2012 року була попередньою фiнансовою звiтнiстю, складеною вiдповiдно до МСФЗ. В 2013 роцi товариство готувало перший повний пакет фiнансової звiтностi за МСФЗ, який включав три Баланси (Звiти про фiнансовий результат), по два Звiти про фiнансовi ре</w:t>
            </w:r>
            <w:r>
              <w:rPr>
                <w:color w:val="000000"/>
              </w:rPr>
              <w:t>зультати (Звiти про сукупний дохiд), Звiти про рух грошових коштiв, Звiти про власний капiтал, i вiдповiднi примiтки, з метою забезпечення достовiрного вiдображення фiнансового стану ПАТ “Готель Подiлля”, результатiв його операцiйної дiяльностi та руху гро</w:t>
            </w:r>
            <w:r>
              <w:rPr>
                <w:color w:val="000000"/>
              </w:rPr>
              <w:t>шових коштiв згiдно з МСФЗ.</w:t>
            </w:r>
            <w:r>
              <w:rPr>
                <w:color w:val="000000"/>
              </w:rPr>
              <w:br/>
              <w:t>Однак перша фiнансова звiтнiсть ПАТ “Готель Подiлля” за 2013 рiк в складi регулярної рiчної iнформацiї емiтентiв цiнних паперiв товариством не оприлюднювалась i, вiдповiдно, не була пiдтверджена аудиторським висновком, що є пору</w:t>
            </w:r>
            <w:r>
              <w:rPr>
                <w:color w:val="000000"/>
              </w:rPr>
              <w:t>шенням вимог п. 15 ч. 2 ст. 7, п. 13 ст. 8 Закону України “Про державне регулювання ринку цiнних паперiв в Українi”, Закону України “Про цiннi папери та фондовий ринок”. Тому ми висловлюємо думку про показники фiнансової звiтностi ПАТ “Готель Подiлля” лише</w:t>
            </w:r>
            <w:r>
              <w:rPr>
                <w:color w:val="000000"/>
              </w:rPr>
              <w:t xml:space="preserve"> за 2014 рiк без врахування даних за порiвняльний попереднiй перiод.</w:t>
            </w:r>
            <w:r>
              <w:rPr>
                <w:color w:val="000000"/>
              </w:rPr>
              <w:br/>
              <w:t>Умовно-позитивна думка</w:t>
            </w:r>
            <w:r>
              <w:rPr>
                <w:color w:val="000000"/>
              </w:rPr>
              <w:br/>
              <w:t>На нашу думку, за винятком впливу питань, про якi йдеться у попередньому параграфi, фiнансова звiтнiсть вiдображає достовiрно, в усiх суттєвих аспектах фiнансовий с</w:t>
            </w:r>
            <w:r>
              <w:rPr>
                <w:color w:val="000000"/>
              </w:rPr>
              <w:t>тан ПАТ “Готель Подiлля” станом на 31 грудня 2014 року, його фiнансовi результати i рух грошових коштiв за рiк, що закiнчився на цю дату вiдповiдно до Мiжнародних стандартiв фiнансової звiтностi. Фiнансова звiтнiсть за рiк, що закiнчився 31 грудня 2014 рок</w:t>
            </w:r>
            <w:r>
              <w:rPr>
                <w:color w:val="000000"/>
              </w:rPr>
              <w:t xml:space="preserve">у, пiдготовлена вiдповiдно до вимог усiх мiжнародних стандартiв фiнансової звiтностi, якi є чинними станом на 31.12.2014 року. </w:t>
            </w:r>
            <w:r>
              <w:rPr>
                <w:color w:val="000000"/>
              </w:rPr>
              <w:br/>
              <w:t>Основнi вiдомостi про аудиторську фiрму</w:t>
            </w:r>
            <w:r>
              <w:rPr>
                <w:color w:val="000000"/>
              </w:rPr>
              <w:br/>
              <w:t>Повна назва : Приватна аудиторська фiрма “Аудит - Подiлля”;</w:t>
            </w:r>
            <w:r>
              <w:rPr>
                <w:color w:val="000000"/>
              </w:rPr>
              <w:br/>
            </w:r>
            <w:r>
              <w:rPr>
                <w:color w:val="000000"/>
              </w:rPr>
              <w:lastRenderedPageBreak/>
              <w:t>Код ЄДРПОУ: 32179801;</w:t>
            </w:r>
            <w:r>
              <w:rPr>
                <w:color w:val="000000"/>
              </w:rPr>
              <w:br/>
              <w:t>Мiсцез</w:t>
            </w:r>
            <w:r>
              <w:rPr>
                <w:color w:val="000000"/>
              </w:rPr>
              <w:t>находження: 29015, м. Хмельницький, пр. Миру, 101/А, кiм.210;</w:t>
            </w:r>
            <w:r>
              <w:rPr>
                <w:color w:val="000000"/>
              </w:rPr>
              <w:br/>
              <w:t>Реєстрацiйнi данi: Зареєстроване розпорядженням виконавчого комiтету Хмельницької мiської Ради Хмельницької областi</w:t>
            </w:r>
            <w:r>
              <w:rPr>
                <w:color w:val="000000"/>
              </w:rPr>
              <w:br/>
              <w:t xml:space="preserve">Номер та дата видачi Свiдоцтва про внесення в Реєстр </w:t>
            </w:r>
            <w:r>
              <w:rPr>
                <w:color w:val="000000"/>
              </w:rPr>
              <w:br/>
              <w:t>аудиторських фiрм та ауд</w:t>
            </w:r>
            <w:r>
              <w:rPr>
                <w:color w:val="000000"/>
              </w:rPr>
              <w:t>иторiв, якi одноособово надають послуги:</w:t>
            </w:r>
            <w:r>
              <w:rPr>
                <w:color w:val="000000"/>
              </w:rPr>
              <w:br/>
              <w:t>№ 3069 вiд 31.10.2002 року, продовжено до 06.09.2017 року.</w:t>
            </w:r>
            <w:r>
              <w:rPr>
                <w:color w:val="000000"/>
              </w:rPr>
              <w:br/>
              <w:t xml:space="preserve">Рiшення Аудиторської палати України про внесення до Перелiку </w:t>
            </w:r>
            <w:r>
              <w:rPr>
                <w:color w:val="000000"/>
              </w:rPr>
              <w:br/>
              <w:t xml:space="preserve">аудиторських фiрм, якi вiдповiдають критерiям для проведення </w:t>
            </w:r>
            <w:r>
              <w:rPr>
                <w:color w:val="000000"/>
              </w:rPr>
              <w:br/>
              <w:t>обов’язкового аудиту № 273/3 вiд</w:t>
            </w:r>
            <w:r>
              <w:rPr>
                <w:color w:val="000000"/>
              </w:rPr>
              <w:t xml:space="preserve"> 04.07.2013 року</w:t>
            </w:r>
            <w:r>
              <w:rPr>
                <w:color w:val="000000"/>
              </w:rPr>
              <w:br/>
              <w:t>Контактний телефон : 71-50-07, 0-67-999-2567.</w:t>
            </w:r>
            <w:r>
              <w:rPr>
                <w:color w:val="000000"/>
              </w:rPr>
              <w:br/>
              <w:t>електронна адреса: antonina_audit@mail.ru</w:t>
            </w:r>
            <w:r>
              <w:rPr>
                <w:color w:val="000000"/>
              </w:rPr>
              <w:br/>
              <w:t>Дата i номер договору на проведення аудиту: 26.12.2014 р. № 22-аудит</w:t>
            </w:r>
            <w:r>
              <w:rPr>
                <w:color w:val="000000"/>
              </w:rPr>
              <w:br/>
              <w:t xml:space="preserve">Дата початку i дата закiнчення проведення аудиту: </w:t>
            </w:r>
            <w:r>
              <w:rPr>
                <w:color w:val="000000"/>
              </w:rPr>
              <w:br/>
              <w:t xml:space="preserve">26.12.2014 р. – 05.01.2015 р. </w:t>
            </w:r>
            <w:r>
              <w:rPr>
                <w:color w:val="000000"/>
              </w:rPr>
              <w:br/>
            </w:r>
            <w:r>
              <w:rPr>
                <w:color w:val="000000"/>
              </w:rPr>
              <w:br/>
              <w:t>Аудитор Д.М. Хома</w:t>
            </w:r>
            <w:r>
              <w:rPr>
                <w:color w:val="000000"/>
              </w:rPr>
              <w:br/>
              <w:t xml:space="preserve">/Сертифiкат аудитора №006427, </w:t>
            </w:r>
            <w:r>
              <w:rPr>
                <w:color w:val="000000"/>
              </w:rPr>
              <w:br/>
              <w:t>Виданий на пiдставi рiшення Аудиторської Палати</w:t>
            </w:r>
            <w:r>
              <w:rPr>
                <w:color w:val="000000"/>
              </w:rPr>
              <w:br/>
              <w:t xml:space="preserve">України вiд 24.04.2008 року. Продовжений до 24.04.2018 року/ </w:t>
            </w:r>
            <w:r>
              <w:rPr>
                <w:color w:val="000000"/>
              </w:rPr>
              <w:br/>
              <w:t xml:space="preserve">Директор </w:t>
            </w:r>
            <w:r>
              <w:rPr>
                <w:color w:val="000000"/>
              </w:rPr>
              <w:br/>
              <w:t>Аудиторської фiрми “Аудит-Подiлля” А.Ф.Гуменюк</w:t>
            </w:r>
            <w:r>
              <w:rPr>
                <w:color w:val="000000"/>
              </w:rPr>
              <w:br/>
              <w:t xml:space="preserve">/Сертифiкат аудитора серiя А №005285, </w:t>
            </w:r>
            <w:r>
              <w:rPr>
                <w:color w:val="000000"/>
              </w:rPr>
              <w:br/>
            </w:r>
            <w:r>
              <w:rPr>
                <w:color w:val="000000"/>
              </w:rPr>
              <w:t xml:space="preserve">виданий на пiдставi рiшення Аудиторської Палати </w:t>
            </w:r>
            <w:r>
              <w:rPr>
                <w:color w:val="000000"/>
              </w:rPr>
              <w:br/>
              <w:t xml:space="preserve">України вiд 27.06.2002 року. Продовжений до 27.06.2017 року/ </w:t>
            </w:r>
            <w:r>
              <w:rPr>
                <w:color w:val="000000"/>
              </w:rPr>
              <w:br/>
              <w:t>Аудиторський висновок (звiт) складено 05 сiчня 2015 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 xml:space="preserve">Основними видами послуг, якi надає ПАТ "Готель "Подiлля" є готельнi послуги, надання нежитлових примiщень в оренду, послуги громадського харчування та торгiвля товарами повсякденного попиту. Об'єм наданих послуг прямо залежить вiд роботи пiдприємств мiста </w:t>
            </w:r>
            <w:r>
              <w:rPr>
                <w:color w:val="000000"/>
              </w:rPr>
              <w:t>Хмельницького, оскiльки, при стабiльнiй роботi промисловостi зростає кiлькiсть людей, якi приїжджають у вiдрядження. Кiлькiсть проживаючих прямо залежить вiд загального фiнансового стану населення. Послуги оренди нежитлових примiщень прямо залежать вiд цiн</w:t>
            </w:r>
            <w:r>
              <w:rPr>
                <w:color w:val="000000"/>
              </w:rPr>
              <w:t>и оренди. Оскiльки орендна плата в даний час на пiдприємствi порiвняно невисока, примiщення знiмає достатня кiлькiсть орендарiв.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Значних придбань та вiдчуження активiв за останнi п'ять рокiв не було. Пiдприємство не планує будь-якi значнi iнвестицiї аб</w:t>
            </w:r>
            <w:r>
              <w:rPr>
                <w:color w:val="000000"/>
              </w:rPr>
              <w:t>о придбання, пов'язанi з її господарською дiяльнiстю.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Ступiнь використання основних засобiв - 100% Спосiб утримання активiв -використовуються у процесi надання послуг та для здiйснення адмiнiстративних та соцiально-культурних функцiй. Утримання ак</w:t>
            </w:r>
            <w:r>
              <w:rPr>
                <w:color w:val="000000"/>
              </w:rPr>
              <w:t>тивiв не призводить до жодних негативних екологiчних наслiдкiв. Мiсцезнаходження основних засобiв - за адресою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Основним фактором, що впливає на дiяльнiсть ПАТ є розширення сфери послуг та зменшення собiвартостi послуг, що надаються. послуги</w:t>
            </w:r>
            <w:r>
              <w:rPr>
                <w:color w:val="000000"/>
              </w:rPr>
              <w:t xml:space="preserve"> розширяються за рахунок надання додаткових, наприклад, бiльярд, кафе, послуги таксi для клiєнтiв готелю. Також впливає нестабiльнiсть податкового законодавства та вiдсутнiсть державної полiтики, яка реально направлена на розвиток </w:t>
            </w:r>
            <w:r>
              <w:rPr>
                <w:color w:val="000000"/>
              </w:rPr>
              <w:lastRenderedPageBreak/>
              <w:t>готельно-туристичного бiз</w:t>
            </w:r>
            <w:r>
              <w:rPr>
                <w:color w:val="000000"/>
              </w:rPr>
              <w:t>несу.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За звiтний перiод накладалися штрафнi санкцiї у сумi 5100,00 грн., якi були сплаченi в дохiд державного бюджету України згiдно постанов №116-ПР-2-Е, №117-ПР-2-Е, №118-ПР-2-Е за правопорушення на ринку цiнних паперiв вiд 24.07.2014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Пiдпр</w:t>
            </w:r>
            <w:r>
              <w:rPr>
                <w:color w:val="000000"/>
              </w:rPr>
              <w:t>иємство фiнансується за рахунок власних обiгових коштiв.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Товариство не має укладених, але не виконаних договорiв, тому iнформацiя про очiкуванi прибутки вiд виконання цих договорiв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 xml:space="preserve">Проведення капiтального ремонту готельних номерiв з приведенням їх до вимог європейських стандартiв.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Товариство не здiйснює i не планує здiйснювати дослiдження та розробки, витрати на дослiдження та розробки за звiтний перiод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Справа № 14</w:t>
            </w:r>
            <w:r>
              <w:rPr>
                <w:color w:val="000000"/>
              </w:rPr>
              <w:t>/5025/869/12 ГОСПОДАРСЬКИЙ СУД ХМЕЛЬНИЦЬКОЇ ОБЛАСТI вiдмова в позовi про стягнення з ПАТ "Хмельницькгаз" на користь ПАТ "Готель"Подiлля" в неодержаних доходiв в сумi 66675 грн. та моральної шкоди в сумi 6700 грн.</w:t>
            </w:r>
            <w:r>
              <w:rPr>
                <w:color w:val="000000"/>
              </w:rPr>
              <w:br/>
              <w:t>Справа № 2270/11714/11 вiд 30 травня 2012 р</w:t>
            </w:r>
            <w:r>
              <w:rPr>
                <w:color w:val="000000"/>
              </w:rPr>
              <w:t xml:space="preserve">. ВIННИЦЬКИЙ АПЕЛЯЦIЙНИЙ АДМIНIСТРАТИВНИЙ СУД розглянувши в порядку письмового провадження апеляцiйну скаргу управлiння держтехнобезпеки у Хмельницькiй областi на постанову Хмельницького окружного адмiнiстративного суду вiд 05 грудня 2011 року у справi за </w:t>
            </w:r>
            <w:r>
              <w:rPr>
                <w:color w:val="000000"/>
              </w:rPr>
              <w:t>адмiнiстративним позовом вiдкритого акцiонерного товариства "Готель "Подiлля" до Головного державного iнспектора з нагляду у сферi пожежної та техногенної безпеки Хмельницької областi Данилюка Є.Д., Управлiння держтехнобезпеки у Хмельницькiй областi, Голов</w:t>
            </w:r>
            <w:r>
              <w:rPr>
                <w:color w:val="000000"/>
              </w:rPr>
              <w:t>ного державного iнспектора з пожежного нагляду м.Хмельницького Романюка С.А., вiддiлу наглядово-профiлактичної дiяльностi по м.Хмельницькому ХМУ Управлiння МНС України в Хмельницькiй областi про визнання дiй протиправними та скасування постанови ПОСТАНОВИВ</w:t>
            </w:r>
            <w:r>
              <w:rPr>
                <w:color w:val="000000"/>
              </w:rPr>
              <w:t xml:space="preserve"> Апеляцiйну скаргу управлiння Держтехногенбезпеки у Хмельницькiй областi задовольнити частково.</w:t>
            </w:r>
            <w:r>
              <w:rPr>
                <w:color w:val="000000"/>
              </w:rPr>
              <w:br/>
              <w:t>Постанову Хмельницького окружного адмiнiстративного суду вiд 05 грудня 2011 року - скасувати.</w:t>
            </w:r>
            <w:r>
              <w:rPr>
                <w:color w:val="000000"/>
              </w:rPr>
              <w:br/>
              <w:t>Прийняти нову постанову, якою, в задоволеннi адмiнiстративного поз</w:t>
            </w:r>
            <w:r>
              <w:rPr>
                <w:color w:val="000000"/>
              </w:rPr>
              <w:t>ову вiдкритого акцiонерного товариства "Готель "Подiлля" до головного державного iнспектора з нагляду у сферi пожежної та техногенної безпеки Хмельницької областi Данилюка Є.Д., управлiння держтехногенбезпеки у Хмельницькiй областi, головного державного iн</w:t>
            </w:r>
            <w:r>
              <w:rPr>
                <w:color w:val="000000"/>
              </w:rPr>
              <w:t>спектора з пожежного нагляду м.Хмельницького Романюка С.А., вiддiлу наглядово-профiлактичної дiяльностi по м.Хмельницький ХМУ управлiння МНС України в Хмельницькiй областi про визнання дiй протиправними та скасування постанови, - вiдмовити.</w:t>
            </w:r>
            <w:r>
              <w:rPr>
                <w:color w:val="000000"/>
              </w:rPr>
              <w:br/>
              <w:t>Справа №822/479</w:t>
            </w:r>
            <w:r>
              <w:rPr>
                <w:color w:val="000000"/>
              </w:rPr>
              <w:t>1/14 вiд 19.12.2014 року Хмельницький окружний адмiнiстративний суд в особi суддi Фелонюк Д.Л. розглянувши у скороченому провадженнi адмiнiстративну справу за позовом Прикарптського територiального управлiння Нацiональної комiсiї з цiнних паперiв та фондов</w:t>
            </w:r>
            <w:r>
              <w:rPr>
                <w:color w:val="000000"/>
              </w:rPr>
              <w:t>ого ринку до публiчного акцiонерного товариства "Готель "Подiлля" про стягнення 5100,00 грн., - встановив: Прикарпатське територiальне управлiння Нацiональної комiсiї з цiнних паперiв та фондового ринку звернулось в суд з позовом до публiчного акцiонерного</w:t>
            </w:r>
            <w:r>
              <w:rPr>
                <w:color w:val="000000"/>
              </w:rPr>
              <w:t xml:space="preserve"> товариства "Готель "Подiлля" про стягнення заборгованостi по штрафних санкцiх в сумi 5100,00 грн. в дохiд державного бюджету України згiдно постанов №116-ПР-2-Е,№117-ПР-2-Е, №118-ПР-2-Е про накладання санкцiй за правопорушення на ринку цiнних паперiв вiд </w:t>
            </w:r>
            <w:r>
              <w:rPr>
                <w:color w:val="000000"/>
              </w:rPr>
              <w:t xml:space="preserve">24.07.2014 р.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rPr>
                <w:color w:val="000000"/>
              </w:rPr>
            </w:pPr>
            <w:r>
              <w:rPr>
                <w:color w:val="000000"/>
              </w:rPr>
              <w:t>Фiнансовий стан пiдприємства задовiльний при безперебiйному забезпеченнi теплом та енергоресурсами та покращеннi економiчної сiтуацiї в цiлому в державi.</w:t>
            </w:r>
            <w:r>
              <w:rPr>
                <w:color w:val="000000"/>
              </w:rPr>
              <w:br/>
              <w:t>Iнша iнформацiя, яка може бути iстотною для оцiнки iнвесторами фiнансового стану та</w:t>
            </w:r>
            <w:r>
              <w:rPr>
                <w:color w:val="000000"/>
              </w:rPr>
              <w:t xml:space="preserve"> результатiв дiяльностi емiтента, вiдсутня.</w:t>
            </w:r>
          </w:p>
        </w:tc>
      </w:tr>
    </w:tbl>
    <w:p w:rsidR="00000000" w:rsidRDefault="00EB1252">
      <w:pPr>
        <w:rPr>
          <w:color w:val="000000"/>
        </w:rPr>
        <w:sectPr w:rsidR="00000000">
          <w:pgSz w:w="11907" w:h="16840"/>
          <w:pgMar w:top="1134" w:right="851" w:bottom="851" w:left="851" w:header="0" w:footer="0" w:gutter="0"/>
          <w:cols w:space="720"/>
        </w:sectPr>
      </w:pPr>
    </w:p>
    <w:p w:rsidR="00000000" w:rsidRDefault="00EB1252">
      <w:pPr>
        <w:pStyle w:val="3"/>
        <w:rPr>
          <w:color w:val="000000"/>
        </w:rPr>
      </w:pPr>
      <w:r>
        <w:rPr>
          <w:color w:val="000000"/>
        </w:rPr>
        <w:lastRenderedPageBreak/>
        <w:t>XII. Інформація про господарську та фінансову діяльність емітента</w:t>
      </w:r>
    </w:p>
    <w:p w:rsidR="00000000" w:rsidRDefault="00EB1252">
      <w:pPr>
        <w:pStyle w:val="4"/>
        <w:rPr>
          <w:color w:val="000000"/>
        </w:rPr>
      </w:pPr>
      <w:r>
        <w:rPr>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000"/>
        <w:gridCol w:w="1445"/>
        <w:gridCol w:w="1330"/>
        <w:gridCol w:w="1445"/>
        <w:gridCol w:w="1330"/>
        <w:gridCol w:w="1445"/>
        <w:gridCol w:w="133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3657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445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3657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right"/>
              <w:rPr>
                <w:color w:val="000000"/>
                <w:sz w:val="20"/>
                <w:szCs w:val="20"/>
              </w:rPr>
            </w:pPr>
            <w:r>
              <w:rPr>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Термiни користування основними засобами за основними групами: I група - 20 рокiв; II група - 4 роки; III група - 6,7 рокiв; IV група - 1,7 рокiв. Нематерiальнi активи - 3 роки.</w:t>
            </w:r>
            <w:r>
              <w:rPr>
                <w:color w:val="000000"/>
                <w:sz w:val="20"/>
                <w:szCs w:val="20"/>
              </w:rPr>
              <w:br/>
              <w:t>Ступiнь зносу основних засобiв - 51,6%.</w:t>
            </w:r>
          </w:p>
        </w:tc>
      </w:tr>
    </w:tbl>
    <w:p w:rsidR="00000000" w:rsidRDefault="00EB1252">
      <w:pPr>
        <w:pStyle w:val="4"/>
        <w:rPr>
          <w:color w:val="000000"/>
        </w:rPr>
      </w:pPr>
      <w:r>
        <w:rPr>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w:t>
            </w:r>
            <w:r>
              <w:rPr>
                <w:color w:val="000000"/>
                <w:sz w:val="20"/>
                <w:szCs w:val="20"/>
              </w:rPr>
              <w:t>iд 17.11.2004 р. №485. Розрахунок проведеного за даними Балансу: розрахункова вартiсть чистих активiв - рiзниця рядкiв 1300, 1595, 1695, 1700 та 1665; статутний капiтал - рядок - 1400; скоригований статуний капiтал - рiзниця рядкiв 1400, 1425 та 1430.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w:t>
            </w:r>
            <w:r>
              <w:rPr>
                <w:color w:val="000000"/>
                <w:sz w:val="20"/>
                <w:szCs w:val="20"/>
              </w:rPr>
              <w:t>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Розрахункова вартiсть чистих активiв перевищує статутний капiтал на 1255 тис. грн. Розрахункова вартiсть чистих активiв перевищує скоригований статутний капiтал на 1255 тис. грн. Вимоги частини третьої статтi 155 Цивiльного кодексу України дотриман</w:t>
            </w:r>
            <w:r>
              <w:rPr>
                <w:color w:val="000000"/>
                <w:sz w:val="20"/>
                <w:szCs w:val="20"/>
              </w:rPr>
              <w:t>i. Зменшення статутного капiталу не вимагається.</w:t>
            </w:r>
          </w:p>
        </w:tc>
      </w:tr>
    </w:tbl>
    <w:p w:rsidR="00000000" w:rsidRDefault="00EB1252">
      <w:pPr>
        <w:pStyle w:val="4"/>
        <w:rPr>
          <w:color w:val="000000"/>
        </w:rPr>
      </w:pPr>
      <w:r>
        <w:rPr>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д/н</w:t>
            </w:r>
          </w:p>
        </w:tc>
      </w:tr>
    </w:tbl>
    <w:p w:rsidR="00000000" w:rsidRDefault="00EB1252">
      <w:pPr>
        <w:pStyle w:val="4"/>
        <w:rPr>
          <w:color w:val="000000"/>
        </w:rPr>
      </w:pPr>
      <w:r>
        <w:rPr>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191"/>
        <w:gridCol w:w="313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Приватна аудиторська фiрма "Аудит-Подiлля"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32179801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29015,м. Хмельницький,Проспект Миру,101/а, офiс 210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3069 30.10.2002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Реєстраційний номер, серія та номер, дата видачі та строк дії свідоцтва про внесення до реєстру аудиторських фірм</w:t>
            </w:r>
            <w:r>
              <w:rPr>
                <w:color w:val="000000"/>
                <w:sz w:val="20"/>
                <w:szCs w:val="20"/>
              </w:rPr>
              <w:t>,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xml:space="preserve">266/4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2014 рiк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умовно-позитивна</w:t>
            </w:r>
          </w:p>
        </w:tc>
      </w:tr>
    </w:tbl>
    <w:p w:rsidR="00000000" w:rsidRDefault="00EB1252">
      <w:pPr>
        <w:pStyle w:val="4"/>
        <w:rPr>
          <w:color w:val="000000"/>
        </w:rPr>
      </w:pPr>
      <w:r>
        <w:rPr>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419"/>
        <w:gridCol w:w="290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Наймену</w:t>
            </w:r>
            <w:r>
              <w:rPr>
                <w:color w:val="000000"/>
                <w:sz w:val="20"/>
                <w:szCs w:val="20"/>
              </w:rPr>
              <w:t>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Приватна аудиторська фiрма "Аудит-Подiлля"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32179801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29015, м.Хмельницький, Проспект Миру, 101/а, офiс 210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lastRenderedPageBreak/>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266/4 30.10.2002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Реєстраційн</w:t>
            </w:r>
            <w:r>
              <w:rPr>
                <w:color w:val="000000"/>
                <w:sz w:val="20"/>
                <w:szCs w:val="20"/>
              </w:rPr>
              <w:t>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xml:space="preserve">266/4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АУДИТОРСЬКИЙ ВИСН</w:t>
            </w:r>
            <w:r>
              <w:rPr>
                <w:color w:val="000000"/>
                <w:sz w:val="20"/>
                <w:szCs w:val="20"/>
              </w:rPr>
              <w:t xml:space="preserve">ОВОК </w:t>
            </w:r>
            <w:r>
              <w:rPr>
                <w:color w:val="000000"/>
                <w:sz w:val="20"/>
                <w:szCs w:val="20"/>
              </w:rPr>
              <w:br/>
              <w:t>(ЗВIТ НЕЗАЛЕЖНОГО АУДИТОРА)</w:t>
            </w:r>
            <w:r>
              <w:rPr>
                <w:color w:val="000000"/>
                <w:sz w:val="20"/>
                <w:szCs w:val="20"/>
              </w:rPr>
              <w:br/>
              <w:t xml:space="preserve">щодо фiнансової звiтностi публiчного акцiонерного товариства </w:t>
            </w:r>
            <w:r>
              <w:rPr>
                <w:color w:val="000000"/>
                <w:sz w:val="20"/>
                <w:szCs w:val="20"/>
              </w:rPr>
              <w:br/>
              <w:t>“Готель Подiлля” станом на 31 грудня 2014 року</w:t>
            </w:r>
            <w:r>
              <w:rPr>
                <w:color w:val="000000"/>
                <w:sz w:val="20"/>
                <w:szCs w:val="20"/>
              </w:rPr>
              <w:br/>
              <w:t>Адресат:</w:t>
            </w:r>
            <w:r>
              <w:rPr>
                <w:color w:val="000000"/>
                <w:sz w:val="20"/>
                <w:szCs w:val="20"/>
              </w:rPr>
              <w:br/>
              <w:t>Звiт незалежного аудитора призначається для власникiв цiнних паперiв та керiвництва суб'єкту господарюва</w:t>
            </w:r>
            <w:r>
              <w:rPr>
                <w:color w:val="000000"/>
                <w:sz w:val="20"/>
                <w:szCs w:val="20"/>
              </w:rPr>
              <w:t>ння, фiнансовий звiт якого перевiряється i може бути використаний для подання до Нацiональної комiсiї з цiнних паперiв та фондового ринку при розкриттi iнформацiї емiтентом.</w:t>
            </w:r>
            <w:r>
              <w:rPr>
                <w:color w:val="000000"/>
                <w:sz w:val="20"/>
                <w:szCs w:val="20"/>
              </w:rPr>
              <w:br/>
              <w:t>ЗВIТ ЩОДО ФIНАНСОВОЇ ЗВIТНОСТI ЗА МСФЗ</w:t>
            </w:r>
            <w:r>
              <w:rPr>
                <w:color w:val="000000"/>
                <w:sz w:val="20"/>
                <w:szCs w:val="20"/>
              </w:rPr>
              <w:br/>
              <w:t>Основнi вiдомостi про емiтента</w:t>
            </w:r>
            <w:r>
              <w:rPr>
                <w:color w:val="000000"/>
                <w:sz w:val="20"/>
                <w:szCs w:val="20"/>
              </w:rPr>
              <w:br/>
              <w:t>Повна назва:</w:t>
            </w:r>
            <w:r>
              <w:rPr>
                <w:color w:val="000000"/>
                <w:sz w:val="20"/>
                <w:szCs w:val="20"/>
              </w:rPr>
              <w:t xml:space="preserve"> Публiчне акцiонерне товариство “Готель Подiлля”</w:t>
            </w:r>
            <w:r>
              <w:rPr>
                <w:color w:val="000000"/>
                <w:sz w:val="20"/>
                <w:szCs w:val="20"/>
              </w:rPr>
              <w:br/>
              <w:t>Код за ЄДРОПОУ: 21327550</w:t>
            </w:r>
            <w:r>
              <w:rPr>
                <w:color w:val="000000"/>
                <w:sz w:val="20"/>
                <w:szCs w:val="20"/>
              </w:rPr>
              <w:br/>
              <w:t xml:space="preserve">Мiсцезнаходження: </w:t>
            </w:r>
            <w:r>
              <w:rPr>
                <w:color w:val="000000"/>
                <w:sz w:val="20"/>
                <w:szCs w:val="20"/>
              </w:rPr>
              <w:br/>
              <w:t>– юридична адреса: вул. Шевченка, буд. 34, м. Хмельницький, Хмельницька обл., 29000</w:t>
            </w:r>
            <w:r>
              <w:rPr>
                <w:color w:val="000000"/>
                <w:sz w:val="20"/>
                <w:szCs w:val="20"/>
              </w:rPr>
              <w:br/>
              <w:t>– фактична адреса: вул. Шевченка, буд. 34, м. Хмельницький, Хмельницька обл., 2</w:t>
            </w:r>
            <w:r>
              <w:rPr>
                <w:color w:val="000000"/>
                <w:sz w:val="20"/>
                <w:szCs w:val="20"/>
              </w:rPr>
              <w:t>9000</w:t>
            </w:r>
            <w:r>
              <w:rPr>
                <w:color w:val="000000"/>
                <w:sz w:val="20"/>
                <w:szCs w:val="20"/>
              </w:rPr>
              <w:br/>
              <w:t>Дата державної реєстрацiї: 29.04.1996 р.</w:t>
            </w:r>
            <w:r>
              <w:rPr>
                <w:color w:val="000000"/>
                <w:sz w:val="20"/>
                <w:szCs w:val="20"/>
              </w:rPr>
              <w:br/>
              <w:t>Номер свiдоцтва про державну реєстрацiю: 16731200000002754.</w:t>
            </w:r>
            <w:r>
              <w:rPr>
                <w:color w:val="000000"/>
                <w:sz w:val="20"/>
                <w:szCs w:val="20"/>
              </w:rPr>
              <w:br/>
              <w:t>Види дiяльностi за КВЕД:</w:t>
            </w:r>
            <w:r>
              <w:rPr>
                <w:color w:val="000000"/>
                <w:sz w:val="20"/>
                <w:szCs w:val="20"/>
              </w:rPr>
              <w:br/>
              <w:t>55.10 Дiяльнiсть готелiв i подiбних засобiв тимчасового розмiщування</w:t>
            </w:r>
            <w:r>
              <w:rPr>
                <w:color w:val="000000"/>
                <w:sz w:val="20"/>
                <w:szCs w:val="20"/>
              </w:rPr>
              <w:br/>
              <w:t>35.30 Постачання пари, гарячої води та кондицiйованого п</w:t>
            </w:r>
            <w:r>
              <w:rPr>
                <w:color w:val="000000"/>
                <w:sz w:val="20"/>
                <w:szCs w:val="20"/>
              </w:rPr>
              <w:t>овiтря</w:t>
            </w:r>
            <w:r>
              <w:rPr>
                <w:color w:val="000000"/>
                <w:sz w:val="20"/>
                <w:szCs w:val="20"/>
              </w:rPr>
              <w:br/>
              <w:t>55.90 Дiяльнiсть iнших засобiв тимчасового розмiщування</w:t>
            </w:r>
            <w:r>
              <w:rPr>
                <w:color w:val="000000"/>
                <w:sz w:val="20"/>
                <w:szCs w:val="20"/>
              </w:rPr>
              <w:br/>
              <w:t>56.10 Дiяльнiсть ресторанiв, надання послуг мобiльного харчування</w:t>
            </w:r>
            <w:r>
              <w:rPr>
                <w:color w:val="000000"/>
                <w:sz w:val="20"/>
                <w:szCs w:val="20"/>
              </w:rPr>
              <w:br/>
              <w:t xml:space="preserve">68.20 Надання в оренду й експлуатацiю власного чи орендованого нерухомого майна </w:t>
            </w:r>
            <w:r>
              <w:rPr>
                <w:color w:val="000000"/>
                <w:sz w:val="20"/>
                <w:szCs w:val="20"/>
              </w:rPr>
              <w:br/>
              <w:t>96.09 Надання iнших iндивiдуальних послуг, н.в</w:t>
            </w:r>
            <w:r>
              <w:rPr>
                <w:color w:val="000000"/>
                <w:sz w:val="20"/>
                <w:szCs w:val="20"/>
              </w:rPr>
              <w:t xml:space="preserve">.i.у. </w:t>
            </w:r>
            <w:r>
              <w:rPr>
                <w:color w:val="000000"/>
                <w:sz w:val="20"/>
                <w:szCs w:val="20"/>
              </w:rPr>
              <w:br/>
              <w:t>Керiвник: Скрипка Iван Iванович</w:t>
            </w:r>
            <w:r>
              <w:rPr>
                <w:color w:val="000000"/>
                <w:sz w:val="20"/>
                <w:szCs w:val="20"/>
              </w:rPr>
              <w:br/>
              <w:t>Публiчне акцiонерне товариство “Готель Подiлля” є правонаступником вiдкритого акцiонерного товариства “Готель Подiлля”, заснованого вiдповiдно до рiшення представництва Фонду державного майна України по Хмельницькiй о</w:t>
            </w:r>
            <w:r>
              <w:rPr>
                <w:color w:val="000000"/>
                <w:sz w:val="20"/>
                <w:szCs w:val="20"/>
              </w:rPr>
              <w:t>бластi вiд 22.04.1996 р.№ 38 шляхом перетворення орендного пiдприємства “Готель “Подiлля” у вiдкрите акцiонерне товариство згiдно з Декретом Кабiнету Мiнiстрiв України “Про приватизацiю цiлiсних майнових комплексiв державних пiдприємств та iнших структурни</w:t>
            </w:r>
            <w:r>
              <w:rPr>
                <w:color w:val="000000"/>
                <w:sz w:val="20"/>
                <w:szCs w:val="20"/>
              </w:rPr>
              <w:t>х пiдроздiлiв, зданих в оренду” i зареєстрованого розпорядженням Хмельницької мiської адмiнiстрацiї вiд 29.04.1996 р. № 77.</w:t>
            </w:r>
            <w:r>
              <w:rPr>
                <w:color w:val="000000"/>
                <w:sz w:val="20"/>
                <w:szCs w:val="20"/>
              </w:rPr>
              <w:br/>
              <w:t>Публiчне акцiонерне товариство “Готель Подiлля” є новим найменуванням Вiдкритого акцiонерного товариства “Готель Подiлля” вiдповiдно</w:t>
            </w:r>
            <w:r>
              <w:rPr>
                <w:color w:val="000000"/>
                <w:sz w:val="20"/>
                <w:szCs w:val="20"/>
              </w:rPr>
              <w:t xml:space="preserve"> до вимог Закону України “Про акцiонернi товариства”.</w:t>
            </w:r>
            <w:r>
              <w:rPr>
                <w:color w:val="000000"/>
                <w:sz w:val="20"/>
                <w:szCs w:val="20"/>
              </w:rPr>
              <w:br/>
              <w:t xml:space="preserve">Власниками товариства є фiзичнi особи. Особами, що мають 10 i бiльше вiдсоткiв акцiй є станом на 31.12.2014 р. є: </w:t>
            </w:r>
            <w:r>
              <w:rPr>
                <w:color w:val="000000"/>
                <w:sz w:val="20"/>
                <w:szCs w:val="20"/>
              </w:rPr>
              <w:br/>
              <w:t>1. Фiзична особа-резидент № 1 – понад 57,00 %.</w:t>
            </w:r>
            <w:r>
              <w:rPr>
                <w:color w:val="000000"/>
                <w:sz w:val="20"/>
                <w:szCs w:val="20"/>
              </w:rPr>
              <w:br/>
              <w:t>Останнi змiни до статуту були внесенi рi</w:t>
            </w:r>
            <w:r>
              <w:rPr>
                <w:color w:val="000000"/>
                <w:sz w:val="20"/>
                <w:szCs w:val="20"/>
              </w:rPr>
              <w:t>шенням загальних зборiв акцiонерiв ПАТ “Готель Подiлля” у 2013 роцi (протокол б/н вiд 23-24 квiтня 2013 р.) i зареєстрованi 24.07.2014 р.</w:t>
            </w:r>
            <w:r>
              <w:rPr>
                <w:color w:val="000000"/>
                <w:sz w:val="20"/>
                <w:szCs w:val="20"/>
              </w:rPr>
              <w:br/>
              <w:t>Основнi вiдомостi про проведення аудиту</w:t>
            </w:r>
            <w:r>
              <w:rPr>
                <w:color w:val="000000"/>
                <w:sz w:val="20"/>
                <w:szCs w:val="20"/>
              </w:rPr>
              <w:br/>
              <w:t>Згiдно договору на проведення аудиту (аудиторської перевiрки) № 22-аудит вiд 2</w:t>
            </w:r>
            <w:r>
              <w:rPr>
                <w:color w:val="000000"/>
                <w:sz w:val="20"/>
                <w:szCs w:val="20"/>
              </w:rPr>
              <w:t>6 грудня 2014 року мiж ПАФ “Аудит-Подiлля” та ПАТ “Готель Подiлля” про достовiрнiсть та повноту фiнансової звiтностi, нами здiйснено аудиторську перевiрку фiнансово-господарської дiяльностi за перiод з 01.01.2014 по 31.12.2014 року.</w:t>
            </w:r>
            <w:r>
              <w:rPr>
                <w:color w:val="000000"/>
                <w:sz w:val="20"/>
                <w:szCs w:val="20"/>
              </w:rPr>
              <w:br/>
              <w:t>Перевiрка проводилась у</w:t>
            </w:r>
            <w:r>
              <w:rPr>
                <w:color w:val="000000"/>
                <w:sz w:val="20"/>
                <w:szCs w:val="20"/>
              </w:rPr>
              <w:t xml:space="preserve"> вiдповiдностi до Законiв України “Про аудиторську дiяльнiсть”, “Про цiннi папери та фондовий ринок”, “Про акцiонернi товариства”, та Мiжнародних стандартiв контролю якостi, аудиту, огляду, iншого надання впевненостi та супутнiх послуг, зокрема МСА 700, 70</w:t>
            </w:r>
            <w:r>
              <w:rPr>
                <w:color w:val="000000"/>
                <w:sz w:val="20"/>
                <w:szCs w:val="20"/>
              </w:rPr>
              <w:t xml:space="preserve">5 iнших стандартiв, що стосуються пiдготовки аудиторського висновку, Вимог до аудиторського висновку при розкриттi iнформацiї емiтентами цiнних паперiв, затверджених Рiшенням Нацiональної комiсiї з цiнних паперiв та фондового ринку 29.09.2011 р. № 1360 iз </w:t>
            </w:r>
            <w:r>
              <w:rPr>
                <w:color w:val="000000"/>
                <w:sz w:val="20"/>
                <w:szCs w:val="20"/>
              </w:rPr>
              <w:t>змiнами вiд 09.12.2014 р. №1652.</w:t>
            </w:r>
            <w:r>
              <w:rPr>
                <w:color w:val="000000"/>
                <w:sz w:val="20"/>
                <w:szCs w:val="20"/>
              </w:rPr>
              <w:br/>
              <w:t>Ми провели аудит фiнансової звiтностi ПАТ “Готель Подiлля”, що додається, яка складається зi звiту про фiнансовий стан на 31.12.2014 року та вiдповiдних звiтiв про сукупний дохiд, рух грошових коштiв та власний капiтал за р</w:t>
            </w:r>
            <w:r>
              <w:rPr>
                <w:color w:val="000000"/>
                <w:sz w:val="20"/>
                <w:szCs w:val="20"/>
              </w:rPr>
              <w:t>iк, який закiнчився цiєю датою, а також з стислого викладу суттєвих принципiв облiкової полiтики та iнших примiток.</w:t>
            </w:r>
            <w:r>
              <w:rPr>
                <w:color w:val="000000"/>
                <w:sz w:val="20"/>
                <w:szCs w:val="20"/>
              </w:rPr>
              <w:br/>
              <w:t xml:space="preserve">Облiкова полiтика в ПАТ “Готель Подiлля” побудована вiдповiдно до вимог Мiжнародних стандартiв фiнансової звiтностi. </w:t>
            </w:r>
            <w:r>
              <w:rPr>
                <w:color w:val="000000"/>
                <w:sz w:val="20"/>
                <w:szCs w:val="20"/>
              </w:rPr>
              <w:br/>
              <w:t>Облiкова полiтика розк</w:t>
            </w:r>
            <w:r>
              <w:rPr>
                <w:color w:val="000000"/>
                <w:sz w:val="20"/>
                <w:szCs w:val="20"/>
              </w:rPr>
              <w:t>риває основи, стандарти, правила та процедури облiку, якi Товариство використовує при веденнi облiку та складаннi фiнансової звiтностi вiдповiдно з МСФЗ. Облiкова полiтика встановлює принципи визнання та оцiнки об'єктiв облiку, визначення та деталiзацiї ок</w:t>
            </w:r>
            <w:r>
              <w:rPr>
                <w:color w:val="000000"/>
                <w:sz w:val="20"/>
                <w:szCs w:val="20"/>
              </w:rPr>
              <w:t xml:space="preserve">ремих статей фiнансової звiтностi товариства. Основними якiсними характеристиками фiнансової звiтностi є зрозумiлiсть, доречнiсть, iстотнiсть, надiйнiсть, </w:t>
            </w:r>
            <w:r>
              <w:rPr>
                <w:color w:val="000000"/>
                <w:sz w:val="20"/>
                <w:szCs w:val="20"/>
              </w:rPr>
              <w:lastRenderedPageBreak/>
              <w:t>правдиве вiдображення, переважання сутi над формою, нейтральнiсть, обачнiсть, повнота, порiвняннiсть,</w:t>
            </w:r>
            <w:r>
              <w:rPr>
                <w:color w:val="000000"/>
                <w:sz w:val="20"/>
                <w:szCs w:val="20"/>
              </w:rPr>
              <w:t xml:space="preserve"> автономнiсть пiдприємства.</w:t>
            </w:r>
            <w:r>
              <w:rPr>
                <w:color w:val="000000"/>
                <w:sz w:val="20"/>
                <w:szCs w:val="20"/>
              </w:rPr>
              <w:br/>
              <w:t xml:space="preserve">Використання основних якiсних характеристик дозволяє забезпечити достовiрне та об'єктивне складання фiнансової звiтностi щодо фiнансового стану, результатiв дiяльностi та змiн у фiнансовому станi Товариства. Результати операцiй </w:t>
            </w:r>
            <w:r>
              <w:rPr>
                <w:color w:val="000000"/>
                <w:sz w:val="20"/>
                <w:szCs w:val="20"/>
              </w:rPr>
              <w:t xml:space="preserve">та iнших подiй господарської дiяльностi визнаються при їх настаннi (а не при отриманнi та виплатi грошових коштiв та їх еквiвалентiв) та враховуються у тому звiтному перiодi, у якому вони вiдбулися. </w:t>
            </w:r>
            <w:r>
              <w:rPr>
                <w:color w:val="000000"/>
                <w:sz w:val="20"/>
                <w:szCs w:val="20"/>
              </w:rPr>
              <w:br/>
              <w:t>Фiнансова звiтнiсть складається на основi припущення, що</w:t>
            </w:r>
            <w:r>
              <w:rPr>
                <w:color w:val="000000"/>
                <w:sz w:val="20"/>
                <w:szCs w:val="20"/>
              </w:rPr>
              <w:t xml:space="preserve"> пiдприємство проводить, i проводитиме операцiї в доступному для огляду майбутньому. Товариство регулярно, але не рiдше нiж раз на рiк, перевiряє облiкову полiтику на її вiдповiднiсть вимогам дiючих стандартiв бухгалтерського облiку, i в разi прийняття нов</w:t>
            </w:r>
            <w:r>
              <w:rPr>
                <w:color w:val="000000"/>
                <w:sz w:val="20"/>
                <w:szCs w:val="20"/>
              </w:rPr>
              <w:t xml:space="preserve">их, або змiни дiючих стандартiв переглядає i доповнює свою облiкову полiтику належним чином. </w:t>
            </w:r>
            <w:r>
              <w:rPr>
                <w:color w:val="000000"/>
                <w:sz w:val="20"/>
                <w:szCs w:val="20"/>
              </w:rPr>
              <w:br/>
              <w:t>Вiдповiдальнiсть управлiнського персоналу за фiнансову звiтнiсть</w:t>
            </w:r>
            <w:r>
              <w:rPr>
                <w:color w:val="000000"/>
                <w:sz w:val="20"/>
                <w:szCs w:val="20"/>
              </w:rPr>
              <w:br/>
              <w:t>Управлiнський персонал несе вiдповiдальнiсть за складання i достовiрне подання цiєї фiнансової зв</w:t>
            </w:r>
            <w:r>
              <w:rPr>
                <w:color w:val="000000"/>
                <w:sz w:val="20"/>
                <w:szCs w:val="20"/>
              </w:rPr>
              <w:t>iтностi вiдповiдно до Мiжнародних стандартiв фiнансової звiтностi, а також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w:t>
            </w:r>
            <w:r>
              <w:rPr>
                <w:color w:val="000000"/>
                <w:sz w:val="20"/>
                <w:szCs w:val="20"/>
              </w:rPr>
              <w:t>и.</w:t>
            </w:r>
            <w:r>
              <w:rPr>
                <w:color w:val="000000"/>
                <w:sz w:val="20"/>
                <w:szCs w:val="20"/>
              </w:rPr>
              <w:br/>
              <w:t>Вiдповiдальнiсть управлiнського персоналу охоплює: розробку, впровадження та використання внутрiшнього контролю стосовно пiдготовки та достовiрного представлення фiнансових звiтiв, якi не мiстять суттєвих викривлень, вибiр та застосування вiдповiдних пр</w:t>
            </w:r>
            <w:r>
              <w:rPr>
                <w:color w:val="000000"/>
                <w:sz w:val="20"/>
                <w:szCs w:val="20"/>
              </w:rPr>
              <w:t>инципiв бухгалтерського облiку, облiкової полiтики, а також облiкових оцiнок, якi вiдповiдають обставинам.</w:t>
            </w:r>
            <w:r>
              <w:rPr>
                <w:color w:val="000000"/>
                <w:sz w:val="20"/>
                <w:szCs w:val="20"/>
              </w:rPr>
              <w:br/>
              <w:t>Пiдготовка фiнансової звiтностi вимагає вiд керiвництва розрахункiв та припущень, що впливають на суми активiв та зобов'язань, вiдображених у фiнансо</w:t>
            </w:r>
            <w:r>
              <w:rPr>
                <w:color w:val="000000"/>
                <w:sz w:val="20"/>
                <w:szCs w:val="20"/>
              </w:rPr>
              <w:t>вiй звiтностi, а також на суми доходiв та витрат, що вiдображаються у фiнансових звiтах протягом звiтного перiоду.</w:t>
            </w:r>
            <w:r>
              <w:rPr>
                <w:color w:val="000000"/>
                <w:sz w:val="20"/>
                <w:szCs w:val="20"/>
              </w:rPr>
              <w:br/>
              <w:t>Вiдповiдальнiсть аудитора</w:t>
            </w:r>
            <w:r>
              <w:rPr>
                <w:color w:val="000000"/>
                <w:sz w:val="20"/>
                <w:szCs w:val="20"/>
              </w:rPr>
              <w:br/>
              <w:t>Нашою вiдповiдальнiстю є висловлення думки щодо цiєї фiнансової звiтностi на основi результатiв проведеного нами ау</w:t>
            </w:r>
            <w:r>
              <w:rPr>
                <w:color w:val="000000"/>
                <w:sz w:val="20"/>
                <w:szCs w:val="20"/>
              </w:rPr>
              <w:t>диту. Ми провели аудит вiдповiдно до Мiжнародних стандартiв контролю якостi, аудиту, огляду, iншого надання впевненостi та супутнiх послуг. Цi стандарти вимагають вiд нас дотримання етичних вимог, а також планування й виконання аудиту для отримання достатн</w:t>
            </w:r>
            <w:r>
              <w:rPr>
                <w:color w:val="000000"/>
                <w:sz w:val="20"/>
                <w:szCs w:val="20"/>
              </w:rPr>
              <w:t>ьої впевненостi, що фiнансовi звiти не мiстять суттєвих викривлень.</w:t>
            </w:r>
            <w:r>
              <w:rPr>
                <w:color w:val="000000"/>
                <w:sz w:val="20"/>
                <w:szCs w:val="20"/>
              </w:rPr>
              <w:br/>
              <w:t>Аудит передбачає виконання аудиторських процедур для отримання аудиторських доказiв стосовно сум та розкриттiв у фiнансовiй звiтностi. Вибiр процедур залежить вiд судження аудитора, включа</w:t>
            </w:r>
            <w:r>
              <w:rPr>
                <w:color w:val="000000"/>
                <w:sz w:val="20"/>
                <w:szCs w:val="20"/>
              </w:rPr>
              <w:t>ючи оцiнку ризикiв суттєвих викривлень фiнансової звiтностi внаслiдок шахрайства або помилок. Виконуючи оцiнку цих ризикiв, аудитор розглядає заходи внутрiшнього контролю, що стосуються складання суб’єктом господарювання фiнансової звiтностi з метою розроб</w:t>
            </w:r>
            <w:r>
              <w:rPr>
                <w:color w:val="000000"/>
                <w:sz w:val="20"/>
                <w:szCs w:val="20"/>
              </w:rPr>
              <w:t>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w:t>
            </w:r>
            <w:r>
              <w:rPr>
                <w:color w:val="000000"/>
                <w:sz w:val="20"/>
                <w:szCs w:val="20"/>
              </w:rPr>
              <w:t xml:space="preserve">иконаних управлiнським персоналом, та оцiнку загального подання фiнансової звiтностi. </w:t>
            </w:r>
            <w:r>
              <w:rPr>
                <w:color w:val="000000"/>
                <w:sz w:val="20"/>
                <w:szCs w:val="20"/>
              </w:rPr>
              <w:br/>
              <w:t xml:space="preserve">Ми вважаємо, що отримали достатнi i належнi аудиторськi докази для висловлення нашої думки. </w:t>
            </w:r>
            <w:r>
              <w:rPr>
                <w:color w:val="000000"/>
                <w:sz w:val="20"/>
                <w:szCs w:val="20"/>
              </w:rPr>
              <w:br/>
            </w:r>
            <w:r>
              <w:rPr>
                <w:color w:val="000000"/>
                <w:sz w:val="20"/>
                <w:szCs w:val="20"/>
              </w:rPr>
              <w:br/>
            </w:r>
            <w:r>
              <w:rPr>
                <w:color w:val="000000"/>
                <w:sz w:val="20"/>
                <w:szCs w:val="20"/>
              </w:rPr>
              <w:br/>
              <w:t>Пiдстава для висловлення умовно-позитивної думки</w:t>
            </w:r>
            <w:r>
              <w:rPr>
                <w:color w:val="000000"/>
                <w:sz w:val="20"/>
                <w:szCs w:val="20"/>
              </w:rPr>
              <w:br/>
              <w:t>Ми не спостерiгали за про</w:t>
            </w:r>
            <w:r>
              <w:rPr>
                <w:color w:val="000000"/>
                <w:sz w:val="20"/>
                <w:szCs w:val="20"/>
              </w:rPr>
              <w:t>веденням iнвентаризацiї наявних активiв i зобов’язань товариства станом на 31.12.2014 р., оскiльки дата її проведення передувала датi укладення договору на проведення аудиту i нашому призначенню аудитором пiдприємства. Однак у ПАТ “Готель Подiлля” цю проце</w:t>
            </w:r>
            <w:r>
              <w:rPr>
                <w:color w:val="000000"/>
                <w:sz w:val="20"/>
                <w:szCs w:val="20"/>
              </w:rPr>
              <w:t>дуру виконувала iнвентаризацiйна комiсiя, якiй висловлено довiру, згiдно вимог МСА. Аудитором були виконанi процедури, якi обґрунтовують думку, що активи та зобов’язання наявнi.</w:t>
            </w:r>
            <w:r>
              <w:rPr>
                <w:color w:val="000000"/>
                <w:sz w:val="20"/>
                <w:szCs w:val="20"/>
              </w:rPr>
              <w:br/>
              <w:t>Фiнансова звiтнiсть ПАТ “Готель Подiлля”, закiнчуючи роком, що завершився 31 г</w:t>
            </w:r>
            <w:r>
              <w:rPr>
                <w:color w:val="000000"/>
                <w:sz w:val="20"/>
                <w:szCs w:val="20"/>
              </w:rPr>
              <w:t>рудня 2011 р., складалась вiдповiдно до вимог Закону України “Про бухгалтерський облiк та фiнансову звiтнiсть в Українi” та нацiональних Положень (стандартiв) бухгалтерського облiку. Акцiонерне товариство визначило дату переходу на МСФЗ – 01 сiчня 2012 рок</w:t>
            </w:r>
            <w:r>
              <w:rPr>
                <w:color w:val="000000"/>
                <w:sz w:val="20"/>
                <w:szCs w:val="20"/>
              </w:rPr>
              <w:t>у. Фiнансова звiтнiсть станом на 31.12.2012 року була попередньою фiнансовою звiтнiстю, складеною вiдповiдно до МСФЗ. В 2013 роцi товариство готувало перший повний пакет фiнансової звiтностi за МСФЗ, який включав три Баланси (Звiти про фiнансовий результат</w:t>
            </w:r>
            <w:r>
              <w:rPr>
                <w:color w:val="000000"/>
                <w:sz w:val="20"/>
                <w:szCs w:val="20"/>
              </w:rPr>
              <w:t>), по два Звiти про фiнансовi результати (Звiти про сукупний дохiд), Звiти про рух грошових коштiв, Звiти про власний капiтал, i вiдповiднi примiтки, з метою забезпечення достовiрного вiдображення фiнансового стану ПАТ “Готель Подiлля”, результатiв його оп</w:t>
            </w:r>
            <w:r>
              <w:rPr>
                <w:color w:val="000000"/>
                <w:sz w:val="20"/>
                <w:szCs w:val="20"/>
              </w:rPr>
              <w:t>ерацiйної дiяльностi та руху грошових коштiв згiдно з МСФЗ.</w:t>
            </w:r>
            <w:r>
              <w:rPr>
                <w:color w:val="000000"/>
                <w:sz w:val="20"/>
                <w:szCs w:val="20"/>
              </w:rPr>
              <w:br/>
              <w:t>Однак перша фiнансова звiтнiсть ПАТ “Готель Подiлля” за 2013 рiк в складi регулярної рiчної iнформацiї емiтентiв цiнних паперiв товариством не оприлюднювалась i, вiдповiдно, не була пiдтверджена а</w:t>
            </w:r>
            <w:r>
              <w:rPr>
                <w:color w:val="000000"/>
                <w:sz w:val="20"/>
                <w:szCs w:val="20"/>
              </w:rPr>
              <w:t>удиторським висновком, що є порушенням вимог п. 15 ч. 2 ст. 7, п. 13 ст. 8 Закону України “Про державне регулювання ринку цiнних паперiв в Українi”, Закону України “Про цiннi папери та фондовий ринок”. Тому ми висловлюємо думку про показники фiнансової звi</w:t>
            </w:r>
            <w:r>
              <w:rPr>
                <w:color w:val="000000"/>
                <w:sz w:val="20"/>
                <w:szCs w:val="20"/>
              </w:rPr>
              <w:t>тностi ПАТ “Готель Подiлля” лише за 2014 рiк без врахування даних за порiвняльний попереднiй перiод.</w:t>
            </w:r>
            <w:r>
              <w:rPr>
                <w:color w:val="000000"/>
                <w:sz w:val="20"/>
                <w:szCs w:val="20"/>
              </w:rPr>
              <w:br/>
              <w:t>Умовно-позитивна думка</w:t>
            </w:r>
            <w:r>
              <w:rPr>
                <w:color w:val="000000"/>
                <w:sz w:val="20"/>
                <w:szCs w:val="20"/>
              </w:rPr>
              <w:br/>
              <w:t>На нашу думку, за винятком впливу питань, про якi йдеться у попередньому параграфi, фiнансова звiтнiсть вiдображає достовiрно, в усi</w:t>
            </w:r>
            <w:r>
              <w:rPr>
                <w:color w:val="000000"/>
                <w:sz w:val="20"/>
                <w:szCs w:val="20"/>
              </w:rPr>
              <w:t xml:space="preserve">х суттєвих аспектах фiнансовий стан ПАТ “Готель Подiлля” станом на 31 грудня 2014 року, його фiнансовi результати i рух грошових коштiв за рiк, що закiнчився на цю дату вiдповiдно до Мiжнародних </w:t>
            </w:r>
            <w:r>
              <w:rPr>
                <w:color w:val="000000"/>
                <w:sz w:val="20"/>
                <w:szCs w:val="20"/>
              </w:rPr>
              <w:lastRenderedPageBreak/>
              <w:t xml:space="preserve">стандартiв фiнансової звiтностi. Фiнансова звiтнiсть за рiк, </w:t>
            </w:r>
            <w:r>
              <w:rPr>
                <w:color w:val="000000"/>
                <w:sz w:val="20"/>
                <w:szCs w:val="20"/>
              </w:rPr>
              <w:t xml:space="preserve">що закiнчився 31 грудня 2014 року, пiдготовлена вiдповiдно до вимог усiх мiжнародних стандартiв фiнансової звiтностi, якi є чинними станом на 31.12.2014 року. </w:t>
            </w:r>
            <w:r>
              <w:rPr>
                <w:color w:val="000000"/>
                <w:sz w:val="20"/>
                <w:szCs w:val="20"/>
              </w:rPr>
              <w:br/>
              <w:t>ЗВIТ ЩОДО ВИМОГ IНШИХ ЗАКОНОДАВЧИХ ТА НОРМАТИВНИХ АКТIВ</w:t>
            </w:r>
            <w:r>
              <w:rPr>
                <w:color w:val="000000"/>
                <w:sz w:val="20"/>
                <w:szCs w:val="20"/>
              </w:rPr>
              <w:br/>
              <w:t>Розкриття iнформацiї про активи товарист</w:t>
            </w:r>
            <w:r>
              <w:rPr>
                <w:color w:val="000000"/>
                <w:sz w:val="20"/>
                <w:szCs w:val="20"/>
              </w:rPr>
              <w:t>ва</w:t>
            </w:r>
            <w:r>
              <w:rPr>
                <w:color w:val="000000"/>
                <w:sz w:val="20"/>
                <w:szCs w:val="20"/>
              </w:rPr>
              <w:br/>
              <w:t>Облiк нематерiальних активiв</w:t>
            </w:r>
            <w:r>
              <w:rPr>
                <w:color w:val="000000"/>
                <w:sz w:val="20"/>
                <w:szCs w:val="20"/>
              </w:rPr>
              <w:br/>
              <w:t>Облiк нематерiальних активiв ПАТ “Готель Подiлля” здiйснювався вiдповiдно до МСБО 38 “Нематерiальнi активи”. Первiсна вартiсть нематерiальних активiв станом на 31.12.2014 р. складала 41 тис. грн., накопичена амортизацiя – 23</w:t>
            </w:r>
            <w:r>
              <w:rPr>
                <w:color w:val="000000"/>
                <w:sz w:val="20"/>
                <w:szCs w:val="20"/>
              </w:rPr>
              <w:t xml:space="preserve"> тис. грн., залишкова вартiсть – 18 тис. грн. Амортизацiя нематерiальних активiв нараховувалась прямолiнiйним методом. Метод нарахування амортизацiї протягом перiоду, що перевiрявся, товариством не змiнювався.</w:t>
            </w:r>
            <w:r>
              <w:rPr>
                <w:color w:val="000000"/>
                <w:sz w:val="20"/>
                <w:szCs w:val="20"/>
              </w:rPr>
              <w:br/>
              <w:t>Облiк основних засобiв</w:t>
            </w:r>
            <w:r>
              <w:rPr>
                <w:color w:val="000000"/>
                <w:sz w:val="20"/>
                <w:szCs w:val="20"/>
              </w:rPr>
              <w:br/>
              <w:t>Аналiтичний та синтетич</w:t>
            </w:r>
            <w:r>
              <w:rPr>
                <w:color w:val="000000"/>
                <w:sz w:val="20"/>
                <w:szCs w:val="20"/>
              </w:rPr>
              <w:t>ний облiк основних засобiв ПАТ “Готель Подiлля” здiйснювався вiдповiдно до МСБО 16 “Основнi засоби”. Первiсна вартiсть основних засобiв, за якою вони вiдображенi в звiтi про фiнансовий стан на 31.12.14 р., складала 8619 тис. грн. Амортизацiя основних засоб</w:t>
            </w:r>
            <w:r>
              <w:rPr>
                <w:color w:val="000000"/>
                <w:sz w:val="20"/>
                <w:szCs w:val="20"/>
              </w:rPr>
              <w:t>iв нараховувалась прямолiнiйним методом. Метод нарахування амортизацiї протягом перiоду, що перевiрявся, товариством не змiнювався. Данi про суму зносу основних засобiв, наведенi в звiтi про фiнансовий стан, вiдповiдають даним регiстрiв облiку. Станом на 3</w:t>
            </w:r>
            <w:r>
              <w:rPr>
                <w:color w:val="000000"/>
                <w:sz w:val="20"/>
                <w:szCs w:val="20"/>
              </w:rPr>
              <w:t xml:space="preserve">1.12.14 р. знос основних засобiв становив 4962 тис. грн., залишкова вартiсть – 3657 тис. грн. У 2014 роцi переоцiнка основних засобiв не проводилась. </w:t>
            </w:r>
            <w:r>
              <w:rPr>
                <w:color w:val="000000"/>
                <w:sz w:val="20"/>
                <w:szCs w:val="20"/>
              </w:rPr>
              <w:br/>
              <w:t>Облiк запасiв</w:t>
            </w:r>
            <w:r>
              <w:rPr>
                <w:color w:val="000000"/>
                <w:sz w:val="20"/>
                <w:szCs w:val="20"/>
              </w:rPr>
              <w:br/>
              <w:t>Облiк запасiв ПАТ “Готель Подiлля” проводився згiдно з МСБО 2 “Запаси”. Одиницею облiку зап</w:t>
            </w:r>
            <w:r>
              <w:rPr>
                <w:color w:val="000000"/>
                <w:sz w:val="20"/>
                <w:szCs w:val="20"/>
              </w:rPr>
              <w:t>асiв є кожне найменування запасiв. Основнi i допомiжнi матерiали оцiненi по собiвартостi придбання. При вибуттi запасiв їх оцiнка здiйснювалась за методом собiвартостi перших за часом надходження запасiв (ФIФО). Незавершене виробництво оцiнювалось по вироб</w:t>
            </w:r>
            <w:r>
              <w:rPr>
                <w:color w:val="000000"/>
                <w:sz w:val="20"/>
                <w:szCs w:val="20"/>
              </w:rPr>
              <w:t>ничiй собiвартостi. Методи оцiнки при вибуттi запасiв були незмiнними протягом перiоду, що перевiрявся. Переоцiнка товарно-матерiальних цiнностей у перiодi, що перевiрявся, не проводилась.</w:t>
            </w:r>
            <w:r>
              <w:rPr>
                <w:color w:val="000000"/>
                <w:sz w:val="20"/>
                <w:szCs w:val="20"/>
              </w:rPr>
              <w:br/>
              <w:t>Станом на 31.12.2014 р. вартiсть запасiв становила 152 тис. грн., в</w:t>
            </w:r>
            <w:r>
              <w:rPr>
                <w:color w:val="000000"/>
                <w:sz w:val="20"/>
                <w:szCs w:val="20"/>
              </w:rPr>
              <w:t xml:space="preserve"> т.ч.: виробничих запасiв – 87 тис. грн., незавершеного виробництва – 1 тис. грн., товарiв – 64 тис. грн.</w:t>
            </w:r>
            <w:r>
              <w:rPr>
                <w:color w:val="000000"/>
                <w:sz w:val="20"/>
                <w:szCs w:val="20"/>
              </w:rPr>
              <w:br/>
              <w:t>Облiк фiнансових активiв</w:t>
            </w:r>
            <w:r>
              <w:rPr>
                <w:color w:val="000000"/>
                <w:sz w:val="20"/>
                <w:szCs w:val="20"/>
              </w:rPr>
              <w:br/>
              <w:t>Первiсна вартiсть та подальша оцiнка фiнансових активiв визначена на пiдставi МСФЗ 7 “Фiнансовi iнструменти: розкриття iнформ</w:t>
            </w:r>
            <w:r>
              <w:rPr>
                <w:color w:val="000000"/>
                <w:sz w:val="20"/>
                <w:szCs w:val="20"/>
              </w:rPr>
              <w:t>ацiї”, МСФЗ 9 “Фiнансовi iнструменти” та МСБО 32 “Фiнансовi iнструменти: подання”. На базi даних стандартiв було проведено узагальнення iнформацiї щодо дебiторської заборгованостi та розкритi основнi позицiї. Поточна дебiторська заборгованiсть за продукцiю</w:t>
            </w:r>
            <w:r>
              <w:rPr>
                <w:color w:val="000000"/>
                <w:sz w:val="20"/>
                <w:szCs w:val="20"/>
              </w:rPr>
              <w:t>, товари, роботи, послуги ПАТ “Готель Подiлля” станом на 31.12.2014 р. становить 268 тис. грн., за розрахунками за виданими авансами – 56 тис. грн., за розрахунками з бюджетом – 26 тис. грн., iнша поточна дебiторська заборгованiсть – 10 тис. грн.</w:t>
            </w:r>
            <w:r>
              <w:rPr>
                <w:color w:val="000000"/>
                <w:sz w:val="20"/>
                <w:szCs w:val="20"/>
              </w:rPr>
              <w:br/>
              <w:t>Облiк кас</w:t>
            </w:r>
            <w:r>
              <w:rPr>
                <w:color w:val="000000"/>
                <w:sz w:val="20"/>
                <w:szCs w:val="20"/>
              </w:rPr>
              <w:t xml:space="preserve">ових операцiй ведеться у вiдповiдностi з вимогами Положення “Про ведення касових операцiй у нацiональнiй валютi України”, затвердженого постановою Правлiння НБУ № 637 вiд 15.12.2004 р. зi змiнами та доповненнями. Облiк здiйснення безготiвкових розрахункiв </w:t>
            </w:r>
            <w:r>
              <w:rPr>
                <w:color w:val="000000"/>
                <w:sz w:val="20"/>
                <w:szCs w:val="20"/>
              </w:rPr>
              <w:t>здiйснюється пiдприємством вiдповiдно до вимог Iнструкцiї “Про безготiвковi розрахунки в нацiональнiй валютi в Українi”, затвердженою Постановою Правлiння НБУ вiд 21.01.2004 № 22. Залишки грошових коштiв та їх еквiвалентiв складають 81 тис. грн., в тому чи</w:t>
            </w:r>
            <w:r>
              <w:rPr>
                <w:color w:val="000000"/>
                <w:sz w:val="20"/>
                <w:szCs w:val="20"/>
              </w:rPr>
              <w:t>слi залишки готiвки – 28 тис. грн., залишки грошових коштiв на рахунках в банку – 53 тис. грн.</w:t>
            </w:r>
            <w:r>
              <w:rPr>
                <w:color w:val="000000"/>
                <w:sz w:val="20"/>
                <w:szCs w:val="20"/>
              </w:rPr>
              <w:br/>
              <w:t>Розкриття iнформацiї про власний капiтал та зобов’язання товариства</w:t>
            </w:r>
            <w:r>
              <w:rPr>
                <w:color w:val="000000"/>
                <w:sz w:val="20"/>
                <w:szCs w:val="20"/>
              </w:rPr>
              <w:br/>
              <w:t>Облiк власного капiталу</w:t>
            </w:r>
            <w:r>
              <w:rPr>
                <w:color w:val="000000"/>
                <w:sz w:val="20"/>
                <w:szCs w:val="20"/>
              </w:rPr>
              <w:br/>
              <w:t>Перевiркою встановлено, що статутний капiтал ПАТ “Готель Подiлля” вiд</w:t>
            </w:r>
            <w:r>
              <w:rPr>
                <w:color w:val="000000"/>
                <w:sz w:val="20"/>
                <w:szCs w:val="20"/>
              </w:rPr>
              <w:t>повiдає установчим документам та даним бухгалтерського облiку.</w:t>
            </w:r>
            <w:r>
              <w:rPr>
                <w:color w:val="000000"/>
                <w:sz w:val="20"/>
                <w:szCs w:val="20"/>
              </w:rPr>
              <w:br/>
              <w:t>Розмiр визначеного та сплаченого зареєстрованого (статутного) капiталу складає 1836 тис. грн., який розподiлений на 7344760 штук простих iменних акцiй номiнальною вартiстю 0,25 грн. кожна. Акцi</w:t>
            </w:r>
            <w:r>
              <w:rPr>
                <w:color w:val="000000"/>
                <w:sz w:val="20"/>
                <w:szCs w:val="20"/>
              </w:rPr>
              <w:t xml:space="preserve">ї товариства iснують в бездокументарнiй формi. Станом на 31.12.2014 р. дематерiалiзацiя акцiй завершена. Протягом звiтного перiоду на пiдприємствi емiсiя акцiй не здiйснювалася, розмiр зареєстрованого (статутного) капiталу не змiнився. </w:t>
            </w:r>
            <w:r>
              <w:rPr>
                <w:color w:val="000000"/>
                <w:sz w:val="20"/>
                <w:szCs w:val="20"/>
              </w:rPr>
              <w:br/>
              <w:t>Сума нерозподiленог</w:t>
            </w:r>
            <w:r>
              <w:rPr>
                <w:color w:val="000000"/>
                <w:sz w:val="20"/>
                <w:szCs w:val="20"/>
              </w:rPr>
              <w:t>о прибутку за 2014 р. зменшилась на 323 тис. грн. i склала 1255 тис. грн.</w:t>
            </w:r>
            <w:r>
              <w:rPr>
                <w:color w:val="000000"/>
                <w:sz w:val="20"/>
                <w:szCs w:val="20"/>
              </w:rPr>
              <w:br/>
              <w:t>Вiдповiднiсть вартостi чистих активiв вимогам законодавства</w:t>
            </w:r>
            <w:r>
              <w:rPr>
                <w:color w:val="000000"/>
                <w:sz w:val="20"/>
                <w:szCs w:val="20"/>
              </w:rPr>
              <w:br/>
              <w:t>Вартiсть чистих активiв ПАТ “Готель Подiлля” визначена шляхом вирахування iз суми активiв, прийнятих до розрахунку, суми й</w:t>
            </w:r>
            <w:r>
              <w:rPr>
                <w:color w:val="000000"/>
                <w:sz w:val="20"/>
                <w:szCs w:val="20"/>
              </w:rPr>
              <w:t>ого зобов'язань, прийнятих до розрахунку.</w:t>
            </w:r>
            <w:r>
              <w:rPr>
                <w:color w:val="000000"/>
                <w:sz w:val="20"/>
                <w:szCs w:val="20"/>
              </w:rPr>
              <w:br/>
              <w:t>Згiдно Методичних рекомендацiй щодо визначення вартостi чистих активiв акцiонерних товариств, затверджених рiшенням ДКЦПФР вiд 17.11.2004 р. № 485, станом на 31.12.2014 року чистi активи ПАТ “Готель Подiлля” склада</w:t>
            </w:r>
            <w:r>
              <w:rPr>
                <w:color w:val="000000"/>
                <w:sz w:val="20"/>
                <w:szCs w:val="20"/>
              </w:rPr>
              <w:t>ють, тис. грн.:</w:t>
            </w:r>
            <w:r>
              <w:rPr>
                <w:color w:val="000000"/>
                <w:sz w:val="20"/>
                <w:szCs w:val="20"/>
              </w:rPr>
              <w:br/>
              <w:t>№ п/п Показник Значення показника</w:t>
            </w:r>
            <w:r>
              <w:rPr>
                <w:color w:val="000000"/>
                <w:sz w:val="20"/>
                <w:szCs w:val="20"/>
              </w:rPr>
              <w:br/>
              <w:t>1 Активи</w:t>
            </w:r>
            <w:r>
              <w:rPr>
                <w:color w:val="000000"/>
                <w:sz w:val="20"/>
                <w:szCs w:val="20"/>
              </w:rPr>
              <w:br/>
              <w:t>в т.ч.: 4268</w:t>
            </w:r>
            <w:r>
              <w:rPr>
                <w:color w:val="000000"/>
                <w:sz w:val="20"/>
                <w:szCs w:val="20"/>
              </w:rPr>
              <w:br/>
              <w:t>- необоротнi активи 3675</w:t>
            </w:r>
            <w:r>
              <w:rPr>
                <w:color w:val="000000"/>
                <w:sz w:val="20"/>
                <w:szCs w:val="20"/>
              </w:rPr>
              <w:br/>
              <w:t>- оборотнi активи 593</w:t>
            </w:r>
            <w:r>
              <w:rPr>
                <w:color w:val="000000"/>
                <w:sz w:val="20"/>
                <w:szCs w:val="20"/>
              </w:rPr>
              <w:br/>
              <w:t>- необоротнi активи, утримуванi для продажу, та групи вибуття 0</w:t>
            </w:r>
            <w:r>
              <w:rPr>
                <w:color w:val="000000"/>
                <w:sz w:val="20"/>
                <w:szCs w:val="20"/>
              </w:rPr>
              <w:br/>
              <w:t>2. Зобов’язання</w:t>
            </w:r>
            <w:r>
              <w:rPr>
                <w:color w:val="000000"/>
                <w:sz w:val="20"/>
                <w:szCs w:val="20"/>
              </w:rPr>
              <w:br/>
              <w:t>в т.ч.: 1177</w:t>
            </w:r>
            <w:r>
              <w:rPr>
                <w:color w:val="000000"/>
                <w:sz w:val="20"/>
                <w:szCs w:val="20"/>
              </w:rPr>
              <w:br/>
              <w:t xml:space="preserve">- довгостроковi зобов’язання i забезпечення </w:t>
            </w:r>
            <w:r>
              <w:rPr>
                <w:color w:val="000000"/>
                <w:sz w:val="20"/>
                <w:szCs w:val="20"/>
              </w:rPr>
              <w:t>0</w:t>
            </w:r>
            <w:r>
              <w:rPr>
                <w:color w:val="000000"/>
                <w:sz w:val="20"/>
                <w:szCs w:val="20"/>
              </w:rPr>
              <w:br/>
              <w:t>- поточнi зобов’язання i забезпечення 1177</w:t>
            </w:r>
            <w:r>
              <w:rPr>
                <w:color w:val="000000"/>
                <w:sz w:val="20"/>
                <w:szCs w:val="20"/>
              </w:rPr>
              <w:br/>
            </w:r>
            <w:r>
              <w:rPr>
                <w:color w:val="000000"/>
                <w:sz w:val="20"/>
                <w:szCs w:val="20"/>
              </w:rPr>
              <w:lastRenderedPageBreak/>
              <w:t>- зобов’язання, пов’язанi з необоротними активами, утримуваними для продажу, та групами вибуття 0</w:t>
            </w:r>
            <w:r>
              <w:rPr>
                <w:color w:val="000000"/>
                <w:sz w:val="20"/>
                <w:szCs w:val="20"/>
              </w:rPr>
              <w:br/>
              <w:t>- чиста вартiсть активiв недержавного пенсiйного фонду 0</w:t>
            </w:r>
            <w:r>
              <w:rPr>
                <w:color w:val="000000"/>
                <w:sz w:val="20"/>
                <w:szCs w:val="20"/>
              </w:rPr>
              <w:br/>
              <w:t>3 Чистi активи</w:t>
            </w:r>
            <w:r>
              <w:rPr>
                <w:color w:val="000000"/>
                <w:sz w:val="20"/>
                <w:szCs w:val="20"/>
              </w:rPr>
              <w:br/>
              <w:t>в т.ч.: 3091</w:t>
            </w:r>
            <w:r>
              <w:rPr>
                <w:color w:val="000000"/>
                <w:sz w:val="20"/>
                <w:szCs w:val="20"/>
              </w:rPr>
              <w:br/>
              <w:t>3.1 - зареєстрований (статут</w:t>
            </w:r>
            <w:r>
              <w:rPr>
                <w:color w:val="000000"/>
                <w:sz w:val="20"/>
                <w:szCs w:val="20"/>
              </w:rPr>
              <w:t>ний) капiтал 1836</w:t>
            </w:r>
            <w:r>
              <w:rPr>
                <w:color w:val="000000"/>
                <w:sz w:val="20"/>
                <w:szCs w:val="20"/>
              </w:rPr>
              <w:br/>
              <w:t>3.2 - неоплачений капiтал 0</w:t>
            </w:r>
            <w:r>
              <w:rPr>
                <w:color w:val="000000"/>
                <w:sz w:val="20"/>
                <w:szCs w:val="20"/>
              </w:rPr>
              <w:br/>
              <w:t>3.3 - вилучений капiтал (0)</w:t>
            </w:r>
            <w:r>
              <w:rPr>
                <w:color w:val="000000"/>
                <w:sz w:val="20"/>
                <w:szCs w:val="20"/>
              </w:rPr>
              <w:br/>
              <w:t>4 Перевищення вартостi чистих активiв ПАТ “Готель Подiлля” над розмiром зареєстрованого (статутного) капiталу (ряд. 3 – ряд. 3.1) 1255</w:t>
            </w:r>
            <w:r>
              <w:rPr>
                <w:color w:val="000000"/>
                <w:sz w:val="20"/>
                <w:szCs w:val="20"/>
              </w:rPr>
              <w:br/>
              <w:t>5 Спiввiдношення вартостi чистих активiв ПАТ “Г</w:t>
            </w:r>
            <w:r>
              <w:rPr>
                <w:color w:val="000000"/>
                <w:sz w:val="20"/>
                <w:szCs w:val="20"/>
              </w:rPr>
              <w:t>отель Подiлля” i розмiру зареєстрованого (статутного) капiталу (ряд. 3 / ряд. 3.1) 1,68</w:t>
            </w:r>
            <w:r>
              <w:rPr>
                <w:color w:val="000000"/>
                <w:sz w:val="20"/>
                <w:szCs w:val="20"/>
              </w:rPr>
              <w:br/>
              <w:t>На думку аудитора, вартiсть чистих активiв ПАТ “Готель Подiлля” станом на 31.12.2014 року складає 3091 тис. грн., перевищуючи розмiр зареєстрованого статутного капiталу</w:t>
            </w:r>
            <w:r>
              <w:rPr>
                <w:color w:val="000000"/>
                <w:sz w:val="20"/>
                <w:szCs w:val="20"/>
              </w:rPr>
              <w:t xml:space="preserve"> на 1255 тис. грн., що вiдповiдає вимогам ст. 155 Цивiльного кодексу України.</w:t>
            </w:r>
            <w:r>
              <w:rPr>
                <w:color w:val="000000"/>
                <w:sz w:val="20"/>
                <w:szCs w:val="20"/>
              </w:rPr>
              <w:br/>
            </w:r>
            <w:r>
              <w:rPr>
                <w:color w:val="000000"/>
                <w:sz w:val="20"/>
                <w:szCs w:val="20"/>
              </w:rPr>
              <w:br/>
              <w:t>Облiк поточних зобов’язань i забезпечень</w:t>
            </w:r>
            <w:r>
              <w:rPr>
                <w:color w:val="000000"/>
                <w:sz w:val="20"/>
                <w:szCs w:val="20"/>
              </w:rPr>
              <w:br/>
              <w:t xml:space="preserve">Визнання, облiк та оцiнка поточних зобов’язань здiйснювались вiдповiдно до МСФЗ 7 “Фiнансовi iнструменти: розкриття iнформацiї”, МСФЗ 9 </w:t>
            </w:r>
            <w:r>
              <w:rPr>
                <w:color w:val="000000"/>
                <w:sz w:val="20"/>
                <w:szCs w:val="20"/>
              </w:rPr>
              <w:t>“Фiнансовi iнструменти” та МСБО 32 “Фiнансовi iнструменти: подання”.</w:t>
            </w:r>
            <w:r>
              <w:rPr>
                <w:color w:val="000000"/>
                <w:sz w:val="20"/>
                <w:szCs w:val="20"/>
              </w:rPr>
              <w:br/>
              <w:t>Поточна кредиторська заборгованiсть за товари, роботи, послуги ПАТ “Готель Подiлля” станом на 31.12.2014 р. становить 124 тис. грн., за розрахунками з бюджетом – 51 тис. грн., за розрахун</w:t>
            </w:r>
            <w:r>
              <w:rPr>
                <w:color w:val="000000"/>
                <w:sz w:val="20"/>
                <w:szCs w:val="20"/>
              </w:rPr>
              <w:t xml:space="preserve">ками зi страхування – 29 тис. грн., за розрахунками з оплати працi – 69 тис. грн., за одержаними авансами – 245 тис. грн., iншi поточнi зобов’язання – 659 тис. грн. </w:t>
            </w:r>
            <w:r>
              <w:rPr>
                <w:color w:val="000000"/>
                <w:sz w:val="20"/>
                <w:szCs w:val="20"/>
              </w:rPr>
              <w:br/>
              <w:t>Розкриття iнформацiї про доходи i витрати товариства</w:t>
            </w:r>
            <w:r>
              <w:rPr>
                <w:color w:val="000000"/>
                <w:sz w:val="20"/>
                <w:szCs w:val="20"/>
              </w:rPr>
              <w:br/>
              <w:t>Облiк витрат</w:t>
            </w:r>
            <w:r>
              <w:rPr>
                <w:color w:val="000000"/>
                <w:sz w:val="20"/>
                <w:szCs w:val="20"/>
              </w:rPr>
              <w:br/>
              <w:t>Облiк витрат виробництва</w:t>
            </w:r>
            <w:r>
              <w:rPr>
                <w:color w:val="000000"/>
                <w:sz w:val="20"/>
                <w:szCs w:val="20"/>
              </w:rPr>
              <w:t>, непрямих витрат, порядок розподiлу загальновиробничих витрат ПАТ “Готель Подiлля” за 2014 рiк проводився у вiдповiдностi з Концептуальною основою складання та подання фiнансових звiтiв, МСБО 2 “Запаси”.</w:t>
            </w:r>
            <w:r>
              <w:rPr>
                <w:color w:val="000000"/>
                <w:sz w:val="20"/>
                <w:szCs w:val="20"/>
              </w:rPr>
              <w:br/>
              <w:t>За 2014 рiк собiвартiсть реалiзованої продукцiї, то</w:t>
            </w:r>
            <w:r>
              <w:rPr>
                <w:color w:val="000000"/>
                <w:sz w:val="20"/>
                <w:szCs w:val="20"/>
              </w:rPr>
              <w:t>варiв, робiт, послуг склала 2934 тис. грн., адмiнiстративнi витрати – 929 тис. грн., витрати на збут – 354 тис. грн.., iншi операцiйнi витрати – 5 тис. грн. Склад операцiйних витрат пiдприємства за елементами за 2014 рiк:</w:t>
            </w:r>
            <w:r>
              <w:rPr>
                <w:color w:val="000000"/>
                <w:sz w:val="20"/>
                <w:szCs w:val="20"/>
              </w:rPr>
              <w:br/>
            </w:r>
            <w:r>
              <w:rPr>
                <w:color w:val="000000"/>
                <w:sz w:val="20"/>
                <w:szCs w:val="20"/>
              </w:rPr>
              <w:sym w:font="Symbol" w:char="F02D"/>
            </w:r>
            <w:r>
              <w:rPr>
                <w:color w:val="000000"/>
                <w:sz w:val="20"/>
                <w:szCs w:val="20"/>
              </w:rPr>
              <w:t xml:space="preserve"> </w:t>
            </w:r>
            <w:r>
              <w:rPr>
                <w:color w:val="000000"/>
                <w:sz w:val="20"/>
                <w:szCs w:val="20"/>
              </w:rPr>
              <w:t xml:space="preserve">матерiальнi затрати – 560 тис. грн.; </w:t>
            </w:r>
            <w:r>
              <w:rPr>
                <w:color w:val="000000"/>
                <w:sz w:val="20"/>
                <w:szCs w:val="20"/>
              </w:rPr>
              <w:br/>
            </w:r>
            <w:r>
              <w:rPr>
                <w:color w:val="000000"/>
                <w:sz w:val="20"/>
                <w:szCs w:val="20"/>
              </w:rPr>
              <w:sym w:font="Symbol" w:char="F02D"/>
            </w:r>
            <w:r>
              <w:rPr>
                <w:color w:val="000000"/>
                <w:sz w:val="20"/>
                <w:szCs w:val="20"/>
              </w:rPr>
              <w:t xml:space="preserve"> витрати на оплату працi – 1608 тис. грн.; </w:t>
            </w:r>
            <w:r>
              <w:rPr>
                <w:color w:val="000000"/>
                <w:sz w:val="20"/>
                <w:szCs w:val="20"/>
              </w:rPr>
              <w:br/>
            </w:r>
            <w:r>
              <w:rPr>
                <w:color w:val="000000"/>
                <w:sz w:val="20"/>
                <w:szCs w:val="20"/>
              </w:rPr>
              <w:sym w:font="Symbol" w:char="F02D"/>
            </w:r>
            <w:r>
              <w:rPr>
                <w:color w:val="000000"/>
                <w:sz w:val="20"/>
                <w:szCs w:val="20"/>
              </w:rPr>
              <w:t xml:space="preserve"> вiдрахування на соцiальнi заходи – 558 тис. грн.; </w:t>
            </w:r>
            <w:r>
              <w:rPr>
                <w:color w:val="000000"/>
                <w:sz w:val="20"/>
                <w:szCs w:val="20"/>
              </w:rPr>
              <w:br/>
            </w:r>
            <w:r>
              <w:rPr>
                <w:color w:val="000000"/>
                <w:sz w:val="20"/>
                <w:szCs w:val="20"/>
              </w:rPr>
              <w:sym w:font="Symbol" w:char="F02D"/>
            </w:r>
            <w:r>
              <w:rPr>
                <w:color w:val="000000"/>
                <w:sz w:val="20"/>
                <w:szCs w:val="20"/>
              </w:rPr>
              <w:t xml:space="preserve"> амортизацiя – 308 тис. грн.; </w:t>
            </w:r>
            <w:r>
              <w:rPr>
                <w:color w:val="000000"/>
                <w:sz w:val="20"/>
                <w:szCs w:val="20"/>
              </w:rPr>
              <w:br/>
            </w:r>
            <w:r>
              <w:rPr>
                <w:color w:val="000000"/>
                <w:sz w:val="20"/>
                <w:szCs w:val="20"/>
              </w:rPr>
              <w:sym w:font="Symbol" w:char="F02D"/>
            </w:r>
            <w:r>
              <w:rPr>
                <w:color w:val="000000"/>
                <w:sz w:val="20"/>
                <w:szCs w:val="20"/>
              </w:rPr>
              <w:t xml:space="preserve"> iншi операцiйнi витрати – 1187 тис. грн. </w:t>
            </w:r>
            <w:r>
              <w:rPr>
                <w:color w:val="000000"/>
                <w:sz w:val="20"/>
                <w:szCs w:val="20"/>
              </w:rPr>
              <w:br/>
              <w:t>Облiк доходiв та фiнансових результатiв</w:t>
            </w:r>
            <w:r>
              <w:rPr>
                <w:color w:val="000000"/>
                <w:sz w:val="20"/>
                <w:szCs w:val="20"/>
              </w:rPr>
              <w:br/>
              <w:t>Облi</w:t>
            </w:r>
            <w:r>
              <w:rPr>
                <w:color w:val="000000"/>
                <w:sz w:val="20"/>
                <w:szCs w:val="20"/>
              </w:rPr>
              <w:t>к доходу вiд реалiзацiї готової продукцiї, робiт та послуг ПАТ “Готель Подiлля” ведеться вiдповiдно до МСБО 18 “Дохiд”, згiдно з яким дохiд визнається тiльки, коли є ймовiрнiсть надходження до суб’єкта господарювання економiчних вигiд, пов’язаних з операцi</w:t>
            </w:r>
            <w:r>
              <w:rPr>
                <w:color w:val="000000"/>
                <w:sz w:val="20"/>
                <w:szCs w:val="20"/>
              </w:rPr>
              <w:t xml:space="preserve">єю. </w:t>
            </w:r>
            <w:r>
              <w:rPr>
                <w:color w:val="000000"/>
                <w:sz w:val="20"/>
                <w:szCs w:val="20"/>
              </w:rPr>
              <w:br/>
              <w:t>За звiтний перiод ПАТ “Готель Подiлля” отриманий чистий дохiд (виручка) вiд реалiзацiї робiт, послуг у розмiрi 3898 тис. грн. Iншi доходи становлять 1 тис. грн. Чистий збиток товариства згiдно даних бухгалтерського облiку в 2014 роцi становить 323 тис</w:t>
            </w:r>
            <w:r>
              <w:rPr>
                <w:color w:val="000000"/>
                <w:sz w:val="20"/>
                <w:szCs w:val="20"/>
              </w:rPr>
              <w:t xml:space="preserve">. грн. </w:t>
            </w:r>
            <w:r>
              <w:rPr>
                <w:color w:val="000000"/>
                <w:sz w:val="20"/>
                <w:szCs w:val="20"/>
              </w:rPr>
              <w:br/>
              <w:t>Наявнiсть суттєвих невiдповiдностей мiж фiнансовою звiтнiстю, що пiдлягала аудиту, та iншою iнформацiєю, що розкривається емiтентом цiнних паперiв та подається до НКЦПФР разом з фiнансовою звiтнiстю</w:t>
            </w:r>
            <w:r>
              <w:rPr>
                <w:color w:val="000000"/>
                <w:sz w:val="20"/>
                <w:szCs w:val="20"/>
              </w:rPr>
              <w:br/>
              <w:t>Пiд час виконання завдання аудитор здiйснив аудит</w:t>
            </w:r>
            <w:r>
              <w:rPr>
                <w:color w:val="000000"/>
                <w:sz w:val="20"/>
                <w:szCs w:val="20"/>
              </w:rPr>
              <w:t>орськi процедури щодо виявлення наявностi суттєвих невiдповiдностей мiж фiнансовою звiтнiстю, що пiдлягала аудиту, та iншою iнформацiєю, що розкривається акцiонерним товариством у вiдповiдностi з МСА 720 “Вiдповiдальнiсть аудитора щодо iншої iнформацiї в д</w:t>
            </w:r>
            <w:r>
              <w:rPr>
                <w:color w:val="000000"/>
                <w:sz w:val="20"/>
                <w:szCs w:val="20"/>
              </w:rPr>
              <w:t>окументах, що мiстять перевiрену аудитором фiнансову звiтнiсть”.</w:t>
            </w:r>
            <w:r>
              <w:rPr>
                <w:color w:val="000000"/>
                <w:sz w:val="20"/>
                <w:szCs w:val="20"/>
              </w:rPr>
              <w:br/>
              <w:t>В результатi проведення аудиторських процедур нами не було встановлено фактiв про iншi подiї, iнформацiя про якi б мала надаватись користувачам звiтностi.</w:t>
            </w:r>
            <w:r>
              <w:rPr>
                <w:color w:val="000000"/>
                <w:sz w:val="20"/>
                <w:szCs w:val="20"/>
              </w:rPr>
              <w:br/>
              <w:t>В ходi аудиту суттєвих невiдповiднос</w:t>
            </w:r>
            <w:r>
              <w:rPr>
                <w:color w:val="000000"/>
                <w:sz w:val="20"/>
                <w:szCs w:val="20"/>
              </w:rPr>
              <w:t xml:space="preserve">тей мiж фiнансовою звiтнiстю, що пiдлягала аудиту, та iншою iнформацiєю, що розкривається ПАТ “Готель Подiлля” та подається Комiсiї разом з фiнансовою звiтнiстю, не виявлено. </w:t>
            </w:r>
            <w:r>
              <w:rPr>
                <w:color w:val="000000"/>
                <w:sz w:val="20"/>
                <w:szCs w:val="20"/>
              </w:rPr>
              <w:br/>
              <w:t>Виконання значних правочинiв (10 i бiльше вiдсоткiв вартостi товариства за даним</w:t>
            </w:r>
            <w:r>
              <w:rPr>
                <w:color w:val="000000"/>
                <w:sz w:val="20"/>
                <w:szCs w:val="20"/>
              </w:rPr>
              <w:t>и останньої рiчної фiнансової звiтностi) вiдповiдно до Закону України “Про акцiонернi товариства”</w:t>
            </w:r>
            <w:r>
              <w:rPr>
                <w:color w:val="000000"/>
                <w:sz w:val="20"/>
                <w:szCs w:val="20"/>
              </w:rPr>
              <w:br/>
              <w:t>В 2014 роцi значнi правочини (вартiсть майна або послуг, що є їх предметом, становить вiд 10 до 25 вiдсоткiв вартостi активiв за даними останньої рiчної фiнан</w:t>
            </w:r>
            <w:r>
              <w:rPr>
                <w:color w:val="000000"/>
                <w:sz w:val="20"/>
                <w:szCs w:val="20"/>
              </w:rPr>
              <w:t>сової звiтностi), вiдповiдно до ст. 70 Закону України “Про акцiонернi товариства”, ПАТ “Готель Подiлля” не були вчиненi.</w:t>
            </w:r>
            <w:r>
              <w:rPr>
                <w:color w:val="000000"/>
                <w:sz w:val="20"/>
                <w:szCs w:val="20"/>
              </w:rPr>
              <w:br/>
              <w:t>Висловлення думки щодо стану корпоративного управлiння, у тому числi внутрiшнього аудиту вiдповiдно до Закону України “Про акцiонернi т</w:t>
            </w:r>
            <w:r>
              <w:rPr>
                <w:color w:val="000000"/>
                <w:sz w:val="20"/>
                <w:szCs w:val="20"/>
              </w:rPr>
              <w:t>овариства”</w:t>
            </w:r>
            <w:r>
              <w:rPr>
                <w:color w:val="000000"/>
                <w:sz w:val="20"/>
                <w:szCs w:val="20"/>
              </w:rPr>
              <w:br/>
              <w:t xml:space="preserve">Метою виконання аудиторських процедур щодо стану корпоративного управлiння, у тому числi внутрiшнього аудиту, вiдповiдно до Закону України “Про акцiонернi товариства” було отримання доказiв, якi дозволяють сформувати судження щодо вiдповiдностi </w:t>
            </w:r>
            <w:r>
              <w:rPr>
                <w:color w:val="000000"/>
                <w:sz w:val="20"/>
                <w:szCs w:val="20"/>
              </w:rPr>
              <w:t>системи корпоративного управлiння у товариствi вимогам Закону України “Про акцiонернi товариства” та вимогам Статуту.</w:t>
            </w:r>
            <w:r>
              <w:rPr>
                <w:color w:val="000000"/>
                <w:sz w:val="20"/>
                <w:szCs w:val="20"/>
              </w:rPr>
              <w:br/>
            </w:r>
            <w:r>
              <w:rPr>
                <w:color w:val="000000"/>
                <w:sz w:val="20"/>
                <w:szCs w:val="20"/>
              </w:rPr>
              <w:lastRenderedPageBreak/>
              <w:t xml:space="preserve">В 2014 роцi стан корпоративного управлiння ПАТ “Готель Подiлля” частково вiдповiдає вимогам Закону України “Про акцiонернi товариства” та </w:t>
            </w:r>
            <w:r>
              <w:rPr>
                <w:color w:val="000000"/>
                <w:sz w:val="20"/>
                <w:szCs w:val="20"/>
              </w:rPr>
              <w:t>Принципам корпоративного управлiння, затвердженим Рiшенням ДКЦПФР № 571 вiд 11.12.2003 р., оскiльки посада внутрiшнього аудитора на дату перевiрки на пiдприємствi не створена.</w:t>
            </w:r>
            <w:r>
              <w:rPr>
                <w:color w:val="000000"/>
                <w:sz w:val="20"/>
                <w:szCs w:val="20"/>
              </w:rPr>
              <w:br/>
              <w:t>Iдентифiкацiя та оцiнка аудитором ризикiв суттєвого викривлення фiнансової звiтн</w:t>
            </w:r>
            <w:r>
              <w:rPr>
                <w:color w:val="000000"/>
                <w:sz w:val="20"/>
                <w:szCs w:val="20"/>
              </w:rPr>
              <w:t>остi внаслiдок шахрайства</w:t>
            </w:r>
            <w:r>
              <w:rPr>
                <w:color w:val="000000"/>
                <w:sz w:val="20"/>
                <w:szCs w:val="20"/>
              </w:rPr>
              <w:br/>
              <w:t>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w:t>
            </w:r>
            <w:r>
              <w:rPr>
                <w:color w:val="000000"/>
                <w:sz w:val="20"/>
                <w:szCs w:val="20"/>
              </w:rPr>
              <w:t xml:space="preserve">икiв суттєвих викривлень через розумiння суб’єкта господарювання i його середовища”, аудитор виконав процедури, необхiднi для отримання iнформацiї, яка використовуватиметься пiд час iдентифiкацiї ризикiв суттєвого викривлення внаслiдок шахрайства. </w:t>
            </w:r>
            <w:r>
              <w:rPr>
                <w:color w:val="000000"/>
                <w:sz w:val="20"/>
                <w:szCs w:val="20"/>
              </w:rPr>
              <w:br/>
              <w:t>Аудитор</w:t>
            </w:r>
            <w:r>
              <w:rPr>
                <w:color w:val="000000"/>
                <w:sz w:val="20"/>
                <w:szCs w:val="20"/>
              </w:rPr>
              <w:t>ом були здiйсненi запити до управлiнського персоналу, проведенi аналiтичнi процедури та контрольнi тести, виконанi спостереження та перевiрка. Аудитор отримав розумiння зовнiшнiх чинникiв дiяльностi суб’єкта господарювання, структуру його власностi та корп</w:t>
            </w:r>
            <w:r>
              <w:rPr>
                <w:color w:val="000000"/>
                <w:sz w:val="20"/>
                <w:szCs w:val="20"/>
              </w:rPr>
              <w:t>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r>
              <w:rPr>
                <w:color w:val="000000"/>
                <w:sz w:val="20"/>
                <w:szCs w:val="20"/>
              </w:rPr>
              <w:br/>
              <w:t>Бухгалтерський облiк у товариствi вiдповiдає положенням, якi зафiксованi у наказi про о</w:t>
            </w:r>
            <w:r>
              <w:rPr>
                <w:color w:val="000000"/>
                <w:sz w:val="20"/>
                <w:szCs w:val="20"/>
              </w:rPr>
              <w:t>блiкову полiтику пiдприємства. Концептуальною основою фiнансової звiтностi є чиннi закони та iншi нормативно-правовi акти України, Мiжнароднi стандарти фiнансової звiтностi та внутрiшнi вимоги i положення пiдприємства.</w:t>
            </w:r>
            <w:r>
              <w:rPr>
                <w:color w:val="000000"/>
                <w:sz w:val="20"/>
                <w:szCs w:val="20"/>
              </w:rPr>
              <w:br/>
              <w:t>При проведеннi iдентифiкацiї та оцiнк</w:t>
            </w:r>
            <w:r>
              <w:rPr>
                <w:color w:val="000000"/>
                <w:sz w:val="20"/>
                <w:szCs w:val="20"/>
              </w:rPr>
              <w:t>и аудиторських ризикiв суттєвого викривлення фiнансової звiтностi ПАТ “Готель Подiлля” внаслiдок шахрайства, вiдповiдно до вимог МСА 240 “Вiдповiдальнiсть аудитора, що стосується шахрайства, при аудитi фiнансової звiтностi”, не виявлено обставин, що свiдча</w:t>
            </w:r>
            <w:r>
              <w:rPr>
                <w:color w:val="000000"/>
                <w:sz w:val="20"/>
                <w:szCs w:val="20"/>
              </w:rPr>
              <w:t>ть про можливiсть шахрайства.</w:t>
            </w:r>
            <w:r>
              <w:rPr>
                <w:color w:val="000000"/>
                <w:sz w:val="20"/>
                <w:szCs w:val="20"/>
              </w:rPr>
              <w:br/>
            </w:r>
            <w:r>
              <w:rPr>
                <w:color w:val="000000"/>
                <w:sz w:val="20"/>
                <w:szCs w:val="20"/>
              </w:rPr>
              <w:br/>
              <w:t>Iнформацiя про подiї, якi вiдбулись у 2014 р. i могли б вплинути на фiнансово-господарський стан товариства та безперервнiсть його дiяльностi</w:t>
            </w:r>
            <w:r>
              <w:rPr>
                <w:color w:val="000000"/>
                <w:sz w:val="20"/>
                <w:szCs w:val="20"/>
              </w:rPr>
              <w:br/>
              <w:t>Подiй, якi могли б вплинути на фiнансово-господарський стан емiтента та призвести д</w:t>
            </w:r>
            <w:r>
              <w:rPr>
                <w:color w:val="000000"/>
                <w:sz w:val="20"/>
                <w:szCs w:val="20"/>
              </w:rPr>
              <w:t>о значної змiни вартостi його цiнних паперiв, визначених частиною першою ст. 41 Закону України “Про цiннi папери та фондовий ринок” не вiдбувалося. За результатами аудиту не виявлено умов, якi викликають сумнiви у можливостi подальшого функцiонування ПАТ “</w:t>
            </w:r>
            <w:r>
              <w:rPr>
                <w:color w:val="000000"/>
                <w:sz w:val="20"/>
                <w:szCs w:val="20"/>
              </w:rPr>
              <w:t>Готель Подiлля” принаймнi 12 мiсяцiв вiд дати фiнансової звiтностi.</w:t>
            </w:r>
            <w:r>
              <w:rPr>
                <w:color w:val="000000"/>
                <w:sz w:val="20"/>
                <w:szCs w:val="20"/>
              </w:rPr>
              <w:br/>
              <w:t>Основнi вiдомостi про аудиторську фiрму</w:t>
            </w:r>
            <w:r>
              <w:rPr>
                <w:color w:val="000000"/>
                <w:sz w:val="20"/>
                <w:szCs w:val="20"/>
              </w:rPr>
              <w:br/>
              <w:t>Повна назва : Приватна аудиторська фiрма “Аудит - Подiлля”;</w:t>
            </w:r>
            <w:r>
              <w:rPr>
                <w:color w:val="000000"/>
                <w:sz w:val="20"/>
                <w:szCs w:val="20"/>
              </w:rPr>
              <w:br/>
              <w:t>Код ЄДРПОУ: 32179801;</w:t>
            </w:r>
            <w:r>
              <w:rPr>
                <w:color w:val="000000"/>
                <w:sz w:val="20"/>
                <w:szCs w:val="20"/>
              </w:rPr>
              <w:br/>
              <w:t>Мiсцезнаходження: 29015, м. Хмельницький, пр. Миру, 101/А, кiм.210</w:t>
            </w:r>
            <w:r>
              <w:rPr>
                <w:color w:val="000000"/>
                <w:sz w:val="20"/>
                <w:szCs w:val="20"/>
              </w:rPr>
              <w:t>;</w:t>
            </w:r>
            <w:r>
              <w:rPr>
                <w:color w:val="000000"/>
                <w:sz w:val="20"/>
                <w:szCs w:val="20"/>
              </w:rPr>
              <w:br/>
              <w:t>Реєстрацiйнi данi: Зареєстроване розпорядженням виконавчого комiтету Хмельницької мiської Ради Хмельницької областi</w:t>
            </w:r>
            <w:r>
              <w:rPr>
                <w:color w:val="000000"/>
                <w:sz w:val="20"/>
                <w:szCs w:val="20"/>
              </w:rPr>
              <w:br/>
              <w:t xml:space="preserve">Номер та дата видачi Свiдоцтва про внесення в Реєстр </w:t>
            </w:r>
            <w:r>
              <w:rPr>
                <w:color w:val="000000"/>
                <w:sz w:val="20"/>
                <w:szCs w:val="20"/>
              </w:rPr>
              <w:br/>
              <w:t>аудиторських фiрм та аудиторiв, якi одноособово надають послуги:</w:t>
            </w:r>
            <w:r>
              <w:rPr>
                <w:color w:val="000000"/>
                <w:sz w:val="20"/>
                <w:szCs w:val="20"/>
              </w:rPr>
              <w:br/>
              <w:t>№ 3069 вiд 31.10.20</w:t>
            </w:r>
            <w:r>
              <w:rPr>
                <w:color w:val="000000"/>
                <w:sz w:val="20"/>
                <w:szCs w:val="20"/>
              </w:rPr>
              <w:t>02 року, продовжено до 06.09.2017 року.</w:t>
            </w:r>
            <w:r>
              <w:rPr>
                <w:color w:val="000000"/>
                <w:sz w:val="20"/>
                <w:szCs w:val="20"/>
              </w:rPr>
              <w:br/>
              <w:t xml:space="preserve">Рiшення Аудиторської палати України про внесення до Перелiку </w:t>
            </w:r>
            <w:r>
              <w:rPr>
                <w:color w:val="000000"/>
                <w:sz w:val="20"/>
                <w:szCs w:val="20"/>
              </w:rPr>
              <w:br/>
              <w:t xml:space="preserve">аудиторських фiрм, якi вiдповiдають критерiям для проведення </w:t>
            </w:r>
            <w:r>
              <w:rPr>
                <w:color w:val="000000"/>
                <w:sz w:val="20"/>
                <w:szCs w:val="20"/>
              </w:rPr>
              <w:br/>
              <w:t>обов’язкового аудиту № 273/3 вiд 04.07.2013 року</w:t>
            </w:r>
            <w:r>
              <w:rPr>
                <w:color w:val="000000"/>
                <w:sz w:val="20"/>
                <w:szCs w:val="20"/>
              </w:rPr>
              <w:br/>
              <w:t>Контактний телефон : 71-50-07, 0-67-999-256</w:t>
            </w:r>
            <w:r>
              <w:rPr>
                <w:color w:val="000000"/>
                <w:sz w:val="20"/>
                <w:szCs w:val="20"/>
              </w:rPr>
              <w:t>7.</w:t>
            </w:r>
            <w:r>
              <w:rPr>
                <w:color w:val="000000"/>
                <w:sz w:val="20"/>
                <w:szCs w:val="20"/>
              </w:rPr>
              <w:br/>
              <w:t>електронна адреса: antonina_audit@mail.ru</w:t>
            </w:r>
            <w:r>
              <w:rPr>
                <w:color w:val="000000"/>
                <w:sz w:val="20"/>
                <w:szCs w:val="20"/>
              </w:rPr>
              <w:br/>
              <w:t>Дата i номер договору на проведення аудиту: 26.12.2014 р. № 22-аудит</w:t>
            </w:r>
            <w:r>
              <w:rPr>
                <w:color w:val="000000"/>
                <w:sz w:val="20"/>
                <w:szCs w:val="20"/>
              </w:rPr>
              <w:br/>
              <w:t xml:space="preserve">Дата початку i дата закiнчення проведення аудиту: </w:t>
            </w:r>
            <w:r>
              <w:rPr>
                <w:color w:val="000000"/>
                <w:sz w:val="20"/>
                <w:szCs w:val="20"/>
              </w:rPr>
              <w:br/>
              <w:t xml:space="preserve">26.12.2014 р. – 05.01.2015 р. </w:t>
            </w:r>
            <w:r>
              <w:rPr>
                <w:color w:val="000000"/>
                <w:sz w:val="20"/>
                <w:szCs w:val="20"/>
              </w:rPr>
              <w:br/>
            </w:r>
            <w:r>
              <w:rPr>
                <w:color w:val="000000"/>
                <w:sz w:val="20"/>
                <w:szCs w:val="20"/>
              </w:rPr>
              <w:br/>
              <w:t>Аудитор Д.М. Хома</w:t>
            </w:r>
            <w:r>
              <w:rPr>
                <w:color w:val="000000"/>
                <w:sz w:val="20"/>
                <w:szCs w:val="20"/>
              </w:rPr>
              <w:br/>
              <w:t xml:space="preserve">/Сертифiкат аудитора №006427, </w:t>
            </w:r>
            <w:r>
              <w:rPr>
                <w:color w:val="000000"/>
                <w:sz w:val="20"/>
                <w:szCs w:val="20"/>
              </w:rPr>
              <w:br/>
              <w:t>Виданий на</w:t>
            </w:r>
            <w:r>
              <w:rPr>
                <w:color w:val="000000"/>
                <w:sz w:val="20"/>
                <w:szCs w:val="20"/>
              </w:rPr>
              <w:t xml:space="preserve"> пiдставi рiшення Аудиторської Палати</w:t>
            </w:r>
            <w:r>
              <w:rPr>
                <w:color w:val="000000"/>
                <w:sz w:val="20"/>
                <w:szCs w:val="20"/>
              </w:rPr>
              <w:br/>
              <w:t xml:space="preserve">України вiд 24.04.2008 року. Продовжений до 24.04.2018 року/ </w:t>
            </w:r>
            <w:r>
              <w:rPr>
                <w:color w:val="000000"/>
                <w:sz w:val="20"/>
                <w:szCs w:val="20"/>
              </w:rPr>
              <w:br/>
              <w:t xml:space="preserve">Директор </w:t>
            </w:r>
            <w:r>
              <w:rPr>
                <w:color w:val="000000"/>
                <w:sz w:val="20"/>
                <w:szCs w:val="20"/>
              </w:rPr>
              <w:br/>
              <w:t>Аудиторської фiрми “Аудит-Подiлля” А.Ф.Гуменюк</w:t>
            </w:r>
            <w:r>
              <w:rPr>
                <w:color w:val="000000"/>
                <w:sz w:val="20"/>
                <w:szCs w:val="20"/>
              </w:rPr>
              <w:br/>
              <w:t xml:space="preserve">/Сертифiкат аудитора серiя А №005285, </w:t>
            </w:r>
            <w:r>
              <w:rPr>
                <w:color w:val="000000"/>
                <w:sz w:val="20"/>
                <w:szCs w:val="20"/>
              </w:rPr>
              <w:br/>
              <w:t xml:space="preserve">виданий на пiдставi рiшення Аудиторської Палати </w:t>
            </w:r>
            <w:r>
              <w:rPr>
                <w:color w:val="000000"/>
                <w:sz w:val="20"/>
                <w:szCs w:val="20"/>
              </w:rPr>
              <w:br/>
              <w:t>України вiд</w:t>
            </w:r>
            <w:r>
              <w:rPr>
                <w:color w:val="000000"/>
                <w:sz w:val="20"/>
                <w:szCs w:val="20"/>
              </w:rPr>
              <w:t xml:space="preserve"> 27.06.2002 року. Продовжений до 27.06.2017 року/ </w:t>
            </w:r>
            <w:r>
              <w:rPr>
                <w:color w:val="000000"/>
                <w:sz w:val="20"/>
                <w:szCs w:val="20"/>
              </w:rPr>
              <w:br/>
              <w:t>Аудиторський висновок (звiт) складено 05 сiчня 2015 р.</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sz w:val="20"/>
                <w:szCs w:val="20"/>
              </w:rPr>
            </w:pPr>
          </w:p>
        </w:tc>
      </w:tr>
    </w:tbl>
    <w:p w:rsidR="00000000" w:rsidRDefault="00EB1252">
      <w:pPr>
        <w:rPr>
          <w:color w:val="000000"/>
        </w:rPr>
        <w:sectPr w:rsidR="00000000">
          <w:pgSz w:w="11907" w:h="16840"/>
          <w:pgMar w:top="1134" w:right="851" w:bottom="851" w:left="851" w:header="0" w:footer="0" w:gutter="0"/>
          <w:cols w:space="720"/>
        </w:sectPr>
      </w:pPr>
    </w:p>
    <w:p w:rsidR="00000000" w:rsidRDefault="00EB1252">
      <w:pPr>
        <w:pStyle w:val="3"/>
        <w:rPr>
          <w:color w:val="000000"/>
        </w:rPr>
      </w:pPr>
      <w:r>
        <w:rPr>
          <w:color w:val="000000"/>
        </w:rPr>
        <w:lastRenderedPageBreak/>
        <w:t>Інформація про стан корпоративного управління</w:t>
      </w:r>
    </w:p>
    <w:p w:rsidR="00000000" w:rsidRDefault="00EB1252">
      <w:pPr>
        <w:pStyle w:val="3"/>
        <w:rPr>
          <w:color w:val="000000"/>
        </w:rPr>
      </w:pPr>
      <w:r>
        <w:rPr>
          <w:color w:val="000000"/>
        </w:rPr>
        <w:t>ЗАГАЛЬНІ ЗБОРИ АКЦІОНЕРІВ</w:t>
      </w:r>
    </w:p>
    <w:p w:rsidR="00000000" w:rsidRDefault="00EB1252">
      <w:pPr>
        <w:pStyle w:val="4"/>
        <w:jc w:val="left"/>
        <w:rPr>
          <w:color w:val="000000"/>
        </w:rPr>
      </w:pPr>
      <w:r>
        <w:rPr>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bl>
    <w:p w:rsidR="00000000" w:rsidRDefault="00EB1252">
      <w:pPr>
        <w:rPr>
          <w:color w:val="000000"/>
        </w:rPr>
      </w:pPr>
    </w:p>
    <w:p w:rsidR="00000000" w:rsidRDefault="00EB1252">
      <w:pPr>
        <w:pStyle w:val="4"/>
        <w:jc w:val="left"/>
        <w:rPr>
          <w:color w:val="000000"/>
        </w:rPr>
      </w:pPr>
      <w:r>
        <w:rPr>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bl>
    <w:p w:rsidR="00000000" w:rsidRDefault="00EB1252">
      <w:pPr>
        <w:rPr>
          <w:color w:val="000000"/>
        </w:rPr>
      </w:pPr>
    </w:p>
    <w:p w:rsidR="00000000" w:rsidRDefault="00EB1252">
      <w:pPr>
        <w:pStyle w:val="4"/>
        <w:jc w:val="left"/>
        <w:rPr>
          <w:color w:val="000000"/>
        </w:rPr>
      </w:pPr>
      <w:r>
        <w:rPr>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bl>
    <w:p w:rsidR="00000000" w:rsidRDefault="00EB1252">
      <w:pPr>
        <w:rPr>
          <w:color w:val="000000"/>
        </w:rPr>
      </w:pPr>
    </w:p>
    <w:p w:rsidR="00000000" w:rsidRDefault="00EB1252">
      <w:pPr>
        <w:pStyle w:val="4"/>
        <w:jc w:val="left"/>
        <w:rPr>
          <w:color w:val="000000"/>
        </w:rPr>
      </w:pPr>
      <w:r>
        <w:rPr>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bl>
    <w:p w:rsidR="00000000" w:rsidRDefault="00EB1252">
      <w:pPr>
        <w:rPr>
          <w:color w:val="000000"/>
        </w:rPr>
      </w:pPr>
    </w:p>
    <w:p w:rsidR="00000000" w:rsidRDefault="00EB1252">
      <w:pPr>
        <w:pStyle w:val="4"/>
        <w:jc w:val="left"/>
        <w:rPr>
          <w:color w:val="000000"/>
        </w:rPr>
      </w:pPr>
      <w:r>
        <w:rPr>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Ні</w:t>
            </w:r>
          </w:p>
        </w:tc>
      </w:tr>
    </w:tbl>
    <w:p w:rsidR="00000000" w:rsidRDefault="00EB1252">
      <w:pPr>
        <w:pStyle w:val="3"/>
        <w:rPr>
          <w:color w:val="000000"/>
        </w:rPr>
      </w:pPr>
      <w:r>
        <w:rPr>
          <w:color w:val="000000"/>
        </w:rPr>
        <w:t>ОРГАНИ УПРАВЛІННЯ</w:t>
      </w:r>
    </w:p>
    <w:p w:rsidR="00000000" w:rsidRDefault="00EB1252">
      <w:pPr>
        <w:pStyle w:val="4"/>
        <w:jc w:val="left"/>
        <w:rPr>
          <w:color w:val="000000"/>
        </w:rPr>
      </w:pPr>
      <w:r>
        <w:rPr>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3</w:t>
            </w:r>
          </w:p>
        </w:tc>
      </w:tr>
    </w:tbl>
    <w:p w:rsidR="00000000" w:rsidRDefault="00EB1252">
      <w:pPr>
        <w:rPr>
          <w:color w:val="000000"/>
        </w:rPr>
      </w:pPr>
    </w:p>
    <w:p w:rsidR="00000000" w:rsidRDefault="00EB1252">
      <w:pPr>
        <w:pStyle w:val="4"/>
        <w:jc w:val="left"/>
        <w:rPr>
          <w:color w:val="000000"/>
        </w:rPr>
      </w:pPr>
      <w:r>
        <w:rPr>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Ні</w:t>
            </w:r>
          </w:p>
        </w:tc>
      </w:tr>
    </w:tbl>
    <w:p w:rsidR="00000000" w:rsidRDefault="00EB1252">
      <w:pPr>
        <w:rPr>
          <w:color w:val="000000"/>
        </w:rPr>
      </w:pPr>
    </w:p>
    <w:p w:rsidR="00000000" w:rsidRDefault="00EB1252">
      <w:pPr>
        <w:pStyle w:val="4"/>
        <w:jc w:val="left"/>
        <w:rPr>
          <w:color w:val="000000"/>
        </w:rPr>
      </w:pPr>
      <w:r>
        <w:rPr>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lastRenderedPageBreak/>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bl>
    <w:p w:rsidR="00000000" w:rsidRDefault="00EB1252">
      <w:pPr>
        <w:rPr>
          <w:color w:val="000000"/>
        </w:rPr>
      </w:pPr>
    </w:p>
    <w:p w:rsidR="00000000" w:rsidRDefault="00EB1252">
      <w:pPr>
        <w:pStyle w:val="4"/>
        <w:jc w:val="left"/>
        <w:rPr>
          <w:color w:val="000000"/>
        </w:rPr>
      </w:pPr>
      <w:r>
        <w:rPr>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Інше (запишіть): Наглядова рада обирається з числа акцiонерiв. Члени Наглядової ради не можуть бути одночасно членами Ревiзiйної комiсiї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bl>
    <w:p w:rsidR="00000000" w:rsidRDefault="00EB1252">
      <w:pPr>
        <w:rPr>
          <w:color w:val="000000"/>
        </w:rPr>
      </w:pPr>
    </w:p>
    <w:p w:rsidR="00000000" w:rsidRDefault="00EB1252">
      <w:pPr>
        <w:pStyle w:val="4"/>
        <w:jc w:val="left"/>
        <w:rPr>
          <w:color w:val="000000"/>
        </w:rPr>
      </w:pPr>
      <w:r>
        <w:rPr>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Було проведен</w:t>
            </w:r>
            <w:r>
              <w:rPr>
                <w:color w:val="000000"/>
                <w:sz w:val="20"/>
                <w:szCs w:val="20"/>
              </w:rPr>
              <w:t xml:space="preserve">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Усіх член</w:t>
            </w:r>
            <w:r>
              <w:rPr>
                <w:color w:val="000000"/>
                <w:sz w:val="20"/>
                <w:szCs w:val="20"/>
              </w:rPr>
              <w:t xml:space="preserve">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так, створено ревізійну комісію</w:t>
            </w:r>
          </w:p>
        </w:tc>
      </w:tr>
    </w:tbl>
    <w:p w:rsidR="00000000" w:rsidRDefault="00EB1252">
      <w:pPr>
        <w:pStyle w:val="4"/>
        <w:jc w:val="left"/>
        <w:rPr>
          <w:color w:val="000000"/>
        </w:rPr>
      </w:pPr>
      <w:r>
        <w:rPr>
          <w:color w:val="000000"/>
        </w:rPr>
        <w:t>Якщо в товаристві створено ревізійну комісію:</w:t>
      </w:r>
    </w:p>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кількість членів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Скільки разів на рік у середньому відбувалося засідання ревізійної комісії протягом останніх трьох років? 1</w:t>
            </w:r>
          </w:p>
        </w:tc>
      </w:tr>
    </w:tbl>
    <w:p w:rsidR="00000000" w:rsidRDefault="00EB1252">
      <w:pPr>
        <w:rPr>
          <w:color w:val="000000"/>
        </w:rPr>
      </w:pPr>
    </w:p>
    <w:p w:rsidR="00000000" w:rsidRDefault="00EB1252">
      <w:pPr>
        <w:pStyle w:val="4"/>
        <w:jc w:val="left"/>
        <w:rPr>
          <w:color w:val="000000"/>
        </w:rPr>
      </w:pPr>
      <w:r>
        <w:rPr>
          <w:color w:val="000000"/>
        </w:rPr>
        <w:t>Відповідно до статуту вашого акціонерного товариства, до компетенції якого з органів (загальних збор</w:t>
      </w:r>
      <w:r>
        <w:rPr>
          <w:color w:val="000000"/>
        </w:rPr>
        <w:t xml:space="preserve">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lastRenderedPageBreak/>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w:t>
            </w:r>
            <w:r>
              <w:rPr>
                <w:color w:val="000000"/>
                <w:sz w:val="20"/>
                <w:szCs w:val="20"/>
              </w:rPr>
              <w:t>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містить статут акціонерного товариства положен</w:t>
            </w:r>
            <w:r>
              <w:rPr>
                <w:b/>
                <w:bCs/>
                <w:color w:val="000000"/>
              </w:rPr>
              <w:t>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EB1252">
      <w:pPr>
        <w:rPr>
          <w:color w:val="000000"/>
        </w:rPr>
      </w:pPr>
      <w:r>
        <w:rPr>
          <w:color w:val="000000"/>
        </w:rPr>
        <w:br/>
      </w:r>
    </w:p>
    <w:p w:rsidR="00000000" w:rsidRDefault="00EB1252">
      <w:pPr>
        <w:pStyle w:val="4"/>
        <w:jc w:val="left"/>
        <w:rPr>
          <w:color w:val="000000"/>
        </w:rPr>
      </w:pPr>
      <w:r>
        <w:rPr>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У товариствi iснує Регламент роботи загальних зборiв акцiонерiв АТ, Регламент роботи Спостер</w:t>
            </w:r>
            <w:r>
              <w:rPr>
                <w:color w:val="000000"/>
                <w:sz w:val="20"/>
                <w:szCs w:val="20"/>
              </w:rPr>
              <w:t>ежної ради АТ, Регламент роботи правлiння АТ, Регламент роботи Ревiзiйної комiсiї АТ.</w:t>
            </w:r>
          </w:p>
        </w:tc>
      </w:tr>
    </w:tbl>
    <w:p w:rsidR="00000000" w:rsidRDefault="00EB1252">
      <w:pPr>
        <w:rPr>
          <w:color w:val="000000"/>
        </w:rPr>
      </w:pPr>
    </w:p>
    <w:p w:rsidR="00000000" w:rsidRDefault="00EB1252">
      <w:pPr>
        <w:pStyle w:val="4"/>
        <w:jc w:val="left"/>
        <w:rPr>
          <w:color w:val="000000"/>
        </w:rPr>
      </w:pPr>
      <w:r>
        <w:rPr>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Інформація розміщу</w:t>
            </w:r>
            <w:r>
              <w:rPr>
                <w:b/>
                <w:bCs/>
                <w:color w:val="000000"/>
                <w:sz w:val="20"/>
                <w:szCs w:val="20"/>
              </w:rPr>
              <w:t>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Ні</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EB1252">
      <w:pPr>
        <w:rPr>
          <w:color w:val="000000"/>
        </w:rPr>
      </w:pPr>
    </w:p>
    <w:p w:rsidR="00000000" w:rsidRDefault="00EB1252">
      <w:pPr>
        <w:pStyle w:val="4"/>
        <w:jc w:val="left"/>
        <w:rPr>
          <w:color w:val="000000"/>
        </w:rPr>
      </w:pPr>
      <w:r>
        <w:rPr>
          <w:color w:val="000000"/>
        </w:rPr>
        <w:t>Скільки разів на рік у середньому проводилися аудиторські перевірки акціонерного товариства зовнішнім ауди</w:t>
      </w:r>
      <w:r>
        <w:rPr>
          <w:color w:val="000000"/>
        </w:rPr>
        <w:t>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bl>
    <w:p w:rsidR="00000000" w:rsidRDefault="00EB1252">
      <w:pPr>
        <w:rPr>
          <w:color w:val="000000"/>
        </w:rPr>
      </w:pPr>
    </w:p>
    <w:p w:rsidR="00000000" w:rsidRDefault="00EB1252">
      <w:pPr>
        <w:pStyle w:val="4"/>
        <w:jc w:val="left"/>
        <w:rPr>
          <w:color w:val="000000"/>
        </w:rPr>
      </w:pPr>
      <w:r>
        <w:rPr>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 xml:space="preserve">Чи змінювало акціонерне товариство зовнішнього аудитора протягом останніх трьох років? </w:t>
            </w:r>
            <w:r>
              <w:rPr>
                <w:b/>
                <w:bCs/>
                <w:color w:val="000000"/>
              </w:rPr>
              <w:lastRenderedPageBreak/>
              <w:t>(так/ні) Ні</w:t>
            </w:r>
          </w:p>
        </w:tc>
      </w:tr>
    </w:tbl>
    <w:p w:rsidR="00000000" w:rsidRDefault="00EB1252">
      <w:pPr>
        <w:rPr>
          <w:color w:val="000000"/>
        </w:rPr>
      </w:pPr>
    </w:p>
    <w:p w:rsidR="00000000" w:rsidRDefault="00EB1252">
      <w:pPr>
        <w:pStyle w:val="4"/>
        <w:jc w:val="left"/>
        <w:rPr>
          <w:color w:val="000000"/>
        </w:rPr>
      </w:pPr>
      <w:r>
        <w:rPr>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bl>
    <w:p w:rsidR="00000000" w:rsidRDefault="00EB1252">
      <w:pPr>
        <w:rPr>
          <w:color w:val="000000"/>
        </w:rPr>
      </w:pPr>
    </w:p>
    <w:p w:rsidR="00000000" w:rsidRDefault="00EB1252">
      <w:pPr>
        <w:pStyle w:val="4"/>
        <w:jc w:val="left"/>
        <w:rPr>
          <w:color w:val="000000"/>
        </w:rPr>
      </w:pPr>
      <w:r>
        <w:rPr>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bl>
    <w:p w:rsidR="00000000" w:rsidRDefault="00EB1252">
      <w:pPr>
        <w:rPr>
          <w:color w:val="000000"/>
        </w:rPr>
      </w:pPr>
    </w:p>
    <w:p w:rsidR="00000000" w:rsidRDefault="00EB1252">
      <w:pPr>
        <w:pStyle w:val="4"/>
        <w:jc w:val="left"/>
        <w:rPr>
          <w:color w:val="000000"/>
        </w:rPr>
      </w:pPr>
      <w:r>
        <w:rPr>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д/в</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EB1252">
      <w:pPr>
        <w:pStyle w:val="3"/>
        <w:rPr>
          <w:color w:val="000000"/>
        </w:rPr>
      </w:pPr>
      <w:r>
        <w:rPr>
          <w:color w:val="000000"/>
        </w:rPr>
        <w:t>ЗАЛУЧЕННЯ ІНВЕСТИЦІЙ ТА ВДОСКОНАЛЕННЯ ПРАКТИКИ КОРПОРАТИВНОГО УПРАВЛІННЯ</w:t>
      </w:r>
    </w:p>
    <w:p w:rsidR="00000000" w:rsidRDefault="00EB1252">
      <w:pPr>
        <w:pStyle w:val="4"/>
        <w:jc w:val="left"/>
        <w:rPr>
          <w:color w:val="000000"/>
        </w:rPr>
      </w:pPr>
      <w:r>
        <w:rPr>
          <w:color w:val="000000"/>
        </w:rPr>
        <w:t>Чи планує ваш</w:t>
      </w:r>
      <w:r>
        <w:rPr>
          <w:color w:val="000000"/>
        </w:rPr>
        <w:t>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lastRenderedPageBreak/>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sz w:val="20"/>
                <w:szCs w:val="20"/>
              </w:rPr>
            </w:pPr>
          </w:p>
        </w:tc>
      </w:tr>
    </w:tbl>
    <w:p w:rsidR="00000000" w:rsidRDefault="00EB1252">
      <w:pPr>
        <w:rPr>
          <w:color w:val="000000"/>
        </w:rPr>
      </w:pPr>
    </w:p>
    <w:p w:rsidR="00000000" w:rsidRDefault="00EB1252">
      <w:pPr>
        <w:pStyle w:val="4"/>
        <w:jc w:val="left"/>
        <w:rPr>
          <w:color w:val="000000"/>
        </w:rPr>
      </w:pPr>
      <w:r>
        <w:rPr>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B1252">
            <w:pPr>
              <w:rPr>
                <w:color w:val="000000"/>
                <w:sz w:val="20"/>
                <w:szCs w:val="20"/>
              </w:rPr>
            </w:pPr>
            <w:r>
              <w:rPr>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планує ваше акціонерне товариство включ</w:t>
            </w:r>
            <w:r>
              <w:rPr>
                <w:b/>
                <w:bCs/>
                <w:color w:val="000000"/>
              </w:rPr>
              <w:t>ити власні акції до лістингу фондових бірж протягом наступних трьох років? (так/ні/не визначились) Так</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Чи має акціонерне товариство власний кодекс (принципи, правила) корпоративного управління? (так/ні) Ні</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w:t>
            </w:r>
            <w:r>
              <w:rPr>
                <w:b/>
                <w:bCs/>
                <w:color w:val="000000"/>
              </w:rPr>
              <w:t xml:space="preserve">я прийнятий: д/в </w:t>
            </w:r>
          </w:p>
        </w:tc>
      </w:tr>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000000">
        <w:tc>
          <w:tcPr>
            <w:tcW w:w="0" w:type="auto"/>
            <w:tcMar>
              <w:top w:w="60" w:type="dxa"/>
              <w:left w:w="60" w:type="dxa"/>
              <w:bottom w:w="60" w:type="dxa"/>
              <w:right w:w="60" w:type="dxa"/>
            </w:tcMar>
            <w:vAlign w:val="center"/>
            <w:hideMark/>
          </w:tcPr>
          <w:p w:rsidR="00000000" w:rsidRDefault="00EB1252">
            <w:pPr>
              <w:rPr>
                <w:b/>
                <w:bCs/>
                <w:color w:val="000000"/>
              </w:rPr>
            </w:pPr>
            <w:r>
              <w:rPr>
                <w:b/>
                <w:bCs/>
                <w:color w:val="000000"/>
              </w:rPr>
              <w:t>Вкажіть інформацію щодо дотримання/недотримання кодексу корпор</w:t>
            </w:r>
            <w:r>
              <w:rPr>
                <w:b/>
                <w:bCs/>
                <w:color w:val="000000"/>
              </w:rPr>
              <w:t>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д/в</w:t>
            </w:r>
          </w:p>
        </w:tc>
      </w:tr>
    </w:tbl>
    <w:p w:rsidR="00000000" w:rsidRDefault="00EB1252">
      <w:pPr>
        <w:rPr>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2015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6810100000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231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55.10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81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29000, Хмельницька обл., м. Хмельницький, вул. Шевченка, 34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V</w:t>
            </w:r>
          </w:p>
        </w:tc>
      </w:tr>
    </w:tbl>
    <w:p w:rsidR="00000000" w:rsidRDefault="00EB1252">
      <w:pPr>
        <w:rPr>
          <w:color w:val="000000"/>
        </w:rPr>
      </w:pPr>
    </w:p>
    <w:p w:rsidR="00000000" w:rsidRDefault="00EB1252">
      <w:pPr>
        <w:pStyle w:val="3"/>
        <w:rPr>
          <w:color w:val="000000"/>
        </w:rPr>
      </w:pPr>
      <w:r>
        <w:rPr>
          <w:color w:val="000000"/>
        </w:rPr>
        <w:t>Баланс (Звіт про фінансовий стан)</w:t>
      </w:r>
      <w:r>
        <w:rPr>
          <w:color w:val="000000"/>
        </w:rPr>
        <w:br/>
        <w:t>на 31.12.2014 р.</w:t>
      </w:r>
    </w:p>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4673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Довгострокові фінансові інвестиції:</w:t>
            </w:r>
            <w:r>
              <w:rPr>
                <w:color w:val="000000"/>
                <w:sz w:val="20"/>
                <w:szCs w:val="20"/>
              </w:rPr>
              <w:br/>
            </w:r>
            <w:r>
              <w:rPr>
                <w:color w:val="000000"/>
                <w:sz w:val="20"/>
                <w:szCs w:val="20"/>
              </w:rP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3870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3091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 незароблених премій; (на початок звітного п</w:t>
            </w:r>
            <w:r>
              <w:rPr>
                <w:color w:val="000000"/>
                <w:sz w:val="20"/>
                <w:szCs w:val="20"/>
              </w:rPr>
              <w:t>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B1252">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Гнатюк Iрина Степанiвна</w:t>
            </w:r>
          </w:p>
        </w:tc>
      </w:tr>
    </w:tbl>
    <w:p w:rsidR="00000000" w:rsidRDefault="00EB1252">
      <w:pPr>
        <w:rPr>
          <w:vanish/>
          <w:color w:val="000000"/>
        </w:rPr>
      </w:pPr>
      <w:r>
        <w:rPr>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2015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r>
    </w:tbl>
    <w:p w:rsidR="00000000" w:rsidRDefault="00EB1252">
      <w:pPr>
        <w:rPr>
          <w:color w:val="000000"/>
        </w:rPr>
      </w:pPr>
    </w:p>
    <w:p w:rsidR="00000000" w:rsidRDefault="00EB1252">
      <w:pPr>
        <w:pStyle w:val="3"/>
        <w:rPr>
          <w:color w:val="000000"/>
        </w:rPr>
      </w:pPr>
      <w:r>
        <w:rPr>
          <w:color w:val="000000"/>
        </w:rPr>
        <w:t>Звіт про фінансові результати (Звіт про сукупний дохід)</w:t>
      </w:r>
      <w:r>
        <w:rPr>
          <w:color w:val="000000"/>
        </w:rPr>
        <w:br/>
        <w:t>за 12 місяців 2014 р.</w:t>
      </w:r>
    </w:p>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r>
              <w:rPr>
                <w:color w:val="000000"/>
              </w:rPr>
              <w:t>I. ФІНАНСОВІ РЕЗУЛЬТАТИ</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4617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( 2934 )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( 3046 )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1571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Дохід (витрати) від зміни у резервах довг</w:t>
            </w:r>
            <w:r>
              <w:rPr>
                <w:color w:val="000000"/>
                <w:sz w:val="20"/>
                <w:szCs w:val="20"/>
              </w:rPr>
              <w:t>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( 929 )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( 948 )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( 354 )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( 282 )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xml:space="preserve">Витрат від первісного визнання біологічних активів і </w:t>
            </w:r>
            <w:r>
              <w:rPr>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lastRenderedPageBreak/>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340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( 73 )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( 323 )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267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( 323 )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r>
              <w:rPr>
                <w:color w:val="000000"/>
              </w:rPr>
              <w:t>II. СУКУПНИЙ ДОХІД</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Частка іншого сукупного доходу асоційованих та спільних підп</w:t>
            </w:r>
            <w:r>
              <w:rPr>
                <w:color w:val="000000"/>
                <w:sz w:val="20"/>
                <w:szCs w:val="20"/>
              </w:rPr>
              <w:t>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267</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r>
              <w:rPr>
                <w:color w:val="000000"/>
              </w:rPr>
              <w:t>III. ЕЛЕМЕНТИ ОПЕРАЦІЙНИХ ВИТРАТ</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560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1608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1187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1416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4277</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B1252">
            <w:pPr>
              <w:jc w:val="center"/>
              <w:rPr>
                <w:color w:val="000000"/>
              </w:rPr>
            </w:pPr>
            <w:r>
              <w:rPr>
                <w:color w:val="000000"/>
              </w:rPr>
              <w:t>ІV. РОЗРАХУНОК ПОКАЗНИКІВ ПРИБУТКОВОСТІ АКЦІЙ</w:t>
            </w:r>
          </w:p>
        </w:tc>
      </w:tr>
    </w:tbl>
    <w:p w:rsidR="00000000" w:rsidRDefault="00EB1252">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7344760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7344760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7344760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7344760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0.04398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0.03635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0.04398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0.04044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B1252">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Гнатюк Iрина Степанiвна</w:t>
            </w:r>
          </w:p>
        </w:tc>
      </w:tr>
    </w:tbl>
    <w:p w:rsidR="00000000" w:rsidRDefault="00EB1252">
      <w:pPr>
        <w:rPr>
          <w:vanish/>
          <w:color w:val="000000"/>
        </w:rPr>
      </w:pPr>
      <w:r>
        <w:rPr>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2015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r>
    </w:tbl>
    <w:p w:rsidR="00000000" w:rsidRDefault="00EB1252">
      <w:pPr>
        <w:rPr>
          <w:color w:val="000000"/>
        </w:rPr>
      </w:pPr>
    </w:p>
    <w:p w:rsidR="00000000" w:rsidRDefault="00EB1252">
      <w:pPr>
        <w:pStyle w:val="3"/>
        <w:rPr>
          <w:color w:val="000000"/>
        </w:rPr>
      </w:pPr>
      <w:r>
        <w:rPr>
          <w:color w:val="000000"/>
        </w:rPr>
        <w:t>Звіт про рух грошових коштів (за прямим методом)</w:t>
      </w:r>
      <w:r>
        <w:rPr>
          <w:color w:val="000000"/>
        </w:rPr>
        <w:br/>
        <w:t>за 12 місяців 2014 р.</w:t>
      </w:r>
    </w:p>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w:t>
            </w:r>
            <w:r>
              <w:rPr>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4706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5535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541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( 1831 )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br/>
              <w:t>( 2077 )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( 1409 )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( 1319 )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( 622 )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( 585 )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( 743 )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( 791 )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( 473 )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( 544 )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( 270 )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( 245 )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( 681 )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( 188 )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1116</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( 114 )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( 182 )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182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900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( 89 )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989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136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81</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B1252">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Гнатюк Iрина Степанiвна</w:t>
            </w:r>
          </w:p>
        </w:tc>
      </w:tr>
    </w:tbl>
    <w:p w:rsidR="00000000" w:rsidRDefault="00EB1252">
      <w:pPr>
        <w:rPr>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2015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r>
    </w:tbl>
    <w:p w:rsidR="00000000" w:rsidRDefault="00EB1252">
      <w:pPr>
        <w:rPr>
          <w:color w:val="000000"/>
        </w:rPr>
      </w:pPr>
    </w:p>
    <w:p w:rsidR="00000000" w:rsidRDefault="00EB1252">
      <w:pPr>
        <w:pStyle w:val="3"/>
        <w:rPr>
          <w:color w:val="000000"/>
        </w:rPr>
      </w:pPr>
      <w:r>
        <w:rPr>
          <w:color w:val="000000"/>
        </w:rPr>
        <w:t>Звіт про рух грошових коштів (за непрямим методом)</w:t>
      </w:r>
      <w:r>
        <w:rPr>
          <w:color w:val="000000"/>
        </w:rPr>
        <w:br/>
        <w:t>за 12 місяців 2014 р.</w:t>
      </w:r>
    </w:p>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B1252">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Коригування на:</w:t>
            </w:r>
            <w:r>
              <w:rPr>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xml:space="preserve">Збільшення (зменшення) </w:t>
            </w:r>
            <w:r>
              <w:rPr>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поточної кредиторської заборг</w:t>
            </w:r>
            <w:r>
              <w:rPr>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 Рух коштів у результаті інвестиційної діяльності</w:t>
            </w:r>
          </w:p>
        </w:tc>
        <w:tc>
          <w:tcPr>
            <w:tcW w:w="0" w:type="auto"/>
            <w:vAlign w:val="center"/>
            <w:hideMark/>
          </w:tcPr>
          <w:p w:rsidR="00000000" w:rsidRDefault="00EB1252">
            <w:pPr>
              <w:rPr>
                <w:sz w:val="20"/>
                <w:szCs w:val="20"/>
              </w:rPr>
            </w:pPr>
          </w:p>
        </w:tc>
        <w:tc>
          <w:tcPr>
            <w:tcW w:w="0" w:type="auto"/>
            <w:vAlign w:val="center"/>
            <w:hideMark/>
          </w:tcPr>
          <w:p w:rsidR="00000000" w:rsidRDefault="00EB1252">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придбання:</w:t>
            </w:r>
            <w:r>
              <w:rPr>
                <w:color w:val="000000"/>
                <w:sz w:val="20"/>
                <w:szCs w:val="20"/>
              </w:rPr>
              <w:br/>
            </w:r>
            <w:r>
              <w:rPr>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III. Рух коштів у результаті фінансової діяльності</w:t>
            </w:r>
          </w:p>
        </w:tc>
        <w:tc>
          <w:tcPr>
            <w:tcW w:w="0" w:type="auto"/>
            <w:vAlign w:val="center"/>
            <w:hideMark/>
          </w:tcPr>
          <w:p w:rsidR="00000000" w:rsidRDefault="00EB1252">
            <w:pPr>
              <w:rPr>
                <w:sz w:val="20"/>
                <w:szCs w:val="20"/>
              </w:rPr>
            </w:pPr>
          </w:p>
        </w:tc>
        <w:tc>
          <w:tcPr>
            <w:tcW w:w="0" w:type="auto"/>
            <w:vAlign w:val="center"/>
            <w:hideMark/>
          </w:tcPr>
          <w:p w:rsidR="00000000" w:rsidRDefault="00EB1252">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w:t>
            </w:r>
            <w:r>
              <w:rPr>
                <w:color w:val="000000"/>
                <w:sz w:val="20"/>
                <w:szCs w:val="20"/>
              </w:rPr>
              <w:br/>
            </w:r>
            <w:r>
              <w:rPr>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B1252">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b/>
                <w:bCs/>
                <w:color w:val="000000"/>
              </w:rPr>
            </w:pP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b/>
                <w:bCs/>
                <w:color w:val="000000"/>
              </w:rPr>
            </w:pP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b/>
                <w:bCs/>
                <w:color w:val="000000"/>
              </w:rPr>
            </w:pPr>
          </w:p>
        </w:tc>
      </w:tr>
    </w:tbl>
    <w:p w:rsidR="00000000" w:rsidRDefault="00EB1252">
      <w:pPr>
        <w:rPr>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2015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sz w:val="20"/>
                <w:szCs w:val="20"/>
              </w:rPr>
            </w:pPr>
          </w:p>
        </w:tc>
      </w:tr>
    </w:tbl>
    <w:p w:rsidR="00000000" w:rsidRDefault="00EB1252">
      <w:pPr>
        <w:rPr>
          <w:color w:val="000000"/>
        </w:rPr>
      </w:pPr>
    </w:p>
    <w:p w:rsidR="00000000" w:rsidRDefault="00EB1252">
      <w:pPr>
        <w:pStyle w:val="3"/>
        <w:rPr>
          <w:color w:val="000000"/>
        </w:rPr>
      </w:pPr>
      <w:r>
        <w:rPr>
          <w:color w:val="000000"/>
        </w:rPr>
        <w:t>Звіт про власний капітал</w:t>
      </w:r>
      <w:r>
        <w:rPr>
          <w:color w:val="000000"/>
        </w:rPr>
        <w:br/>
        <w:t>за 12 місяців 2014 р.</w:t>
      </w:r>
    </w:p>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3414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3414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xml:space="preserve">Сума чистого </w:t>
            </w:r>
            <w:r>
              <w:rPr>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b/>
                <w:bCs/>
                <w:color w:val="000000"/>
                <w:sz w:val="20"/>
                <w:szCs w:val="20"/>
              </w:rPr>
              <w:t>Внески учасників:</w:t>
            </w:r>
            <w:r>
              <w:rPr>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color w:val="000000"/>
                <w:sz w:val="20"/>
                <w:szCs w:val="20"/>
              </w:rPr>
            </w:pPr>
            <w:r>
              <w:rPr>
                <w:color w:val="000000"/>
                <w:sz w:val="20"/>
                <w:szCs w:val="20"/>
              </w:rPr>
              <w:t xml:space="preserve">Придбання (продаж) неконтрольованої </w:t>
            </w:r>
            <w:r>
              <w:rPr>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1255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B1252">
            <w:pPr>
              <w:jc w:val="center"/>
              <w:rPr>
                <w:b/>
                <w:bCs/>
                <w:color w:val="000000"/>
                <w:sz w:val="20"/>
                <w:szCs w:val="20"/>
              </w:rPr>
            </w:pPr>
            <w:r>
              <w:rPr>
                <w:b/>
                <w:bCs/>
                <w:color w:val="000000"/>
                <w:sz w:val="20"/>
                <w:szCs w:val="20"/>
              </w:rPr>
              <w:t>3091</w:t>
            </w:r>
          </w:p>
        </w:tc>
      </w:tr>
    </w:tbl>
    <w:p w:rsidR="00000000" w:rsidRDefault="00EB1252">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EB1252">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B1252">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B1252">
            <w:pPr>
              <w:jc w:val="center"/>
              <w:rPr>
                <w:color w:val="000000"/>
              </w:rPr>
            </w:pPr>
            <w:r>
              <w:rPr>
                <w:color w:val="000000"/>
              </w:rPr>
              <w:t>Гнатюк Iрина Степанiвна</w:t>
            </w:r>
          </w:p>
        </w:tc>
      </w:tr>
    </w:tbl>
    <w:p w:rsidR="00000000" w:rsidRDefault="00EB1252">
      <w:pPr>
        <w:rPr>
          <w:color w:val="000000"/>
        </w:rPr>
        <w:sectPr w:rsidR="00000000">
          <w:pgSz w:w="16840" w:h="11907" w:orient="landscape"/>
          <w:pgMar w:top="1134" w:right="1134" w:bottom="851" w:left="851" w:header="0" w:footer="0" w:gutter="0"/>
          <w:cols w:space="720"/>
        </w:sectPr>
      </w:pPr>
    </w:p>
    <w:p w:rsidR="00000000" w:rsidRDefault="00EB1252">
      <w:pPr>
        <w:pStyle w:val="3"/>
        <w:rPr>
          <w:color w:val="000000"/>
        </w:rPr>
      </w:pPr>
      <w:r>
        <w:rPr>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EB1252">
      <w:pPr>
        <w:pStyle w:val="4"/>
        <w:rPr>
          <w:color w:val="000000"/>
        </w:rPr>
      </w:pPr>
      <w:r>
        <w:rPr>
          <w:color w:val="000000"/>
        </w:rPr>
        <w:t>Текст приміток</w:t>
      </w:r>
    </w:p>
    <w:p w:rsidR="00000000" w:rsidRDefault="00EB1252">
      <w:pPr>
        <w:divId w:val="1376731168"/>
        <w:rPr>
          <w:color w:val="000000"/>
        </w:rPr>
      </w:pPr>
      <w:r>
        <w:rPr>
          <w:color w:val="000000"/>
        </w:rPr>
        <w:t>ПУБЛIЧНЕ АКЦIОНЕРНЕ ТОВАРИСТВО “ГОТЕЛЬ ПОДIЛЛЯ”</w:t>
      </w:r>
      <w:r>
        <w:rPr>
          <w:color w:val="000000"/>
        </w:rPr>
        <w:br/>
        <w:t>ПРИМIТКИ ДО ФIНАНСОВОЇ ЗВIТ</w:t>
      </w:r>
      <w:r>
        <w:rPr>
          <w:color w:val="000000"/>
        </w:rPr>
        <w:t>НОСТI ЗА РIК, ЩО ЗАКIНЧИВСЯ 31 ГРУДНЯ 2014 РОКУ</w:t>
      </w:r>
      <w:r>
        <w:rPr>
          <w:color w:val="000000"/>
        </w:rPr>
        <w:br/>
        <w:t>(в тис. грн.)</w:t>
      </w:r>
      <w:r>
        <w:rPr>
          <w:color w:val="000000"/>
        </w:rPr>
        <w:br/>
        <w:t>1. ЗАГАЛЬНА IНФОРМАЦIЯ</w:t>
      </w:r>
      <w:r>
        <w:rPr>
          <w:color w:val="000000"/>
        </w:rPr>
        <w:br/>
        <w:t>ПУБЛIЧНЕ АКЦIОНЕРНЕ ТОВАРИСТВО “ГОТЕЛЬ ПОДIЛЛЯ” (далi «Товариство») є юридичною особою, створеною вiдповiдно до законодавства України. Публiчне акцiонерне товариство “Готе</w:t>
      </w:r>
      <w:r>
        <w:rPr>
          <w:color w:val="000000"/>
        </w:rPr>
        <w:t>ль Подiлля”, зареєстроване Виконавчим комiтетом Хмельницької мiської ради народних депутатiв 29 квiтня 1996 р.</w:t>
      </w:r>
      <w:r>
        <w:rPr>
          <w:color w:val="000000"/>
        </w:rPr>
        <w:br/>
        <w:t>Види дiяльностi Товариства:</w:t>
      </w:r>
      <w:r>
        <w:rPr>
          <w:color w:val="000000"/>
        </w:rPr>
        <w:br/>
        <w:t>Дiяльнiсть готелiв i подiбних засобiв тимчасового розмiщування</w:t>
      </w:r>
      <w:r>
        <w:rPr>
          <w:color w:val="000000"/>
        </w:rPr>
        <w:br/>
        <w:t>Постачання пари, гарячої води та кондицiйованого повiт</w:t>
      </w:r>
      <w:r>
        <w:rPr>
          <w:color w:val="000000"/>
        </w:rPr>
        <w:t>ря</w:t>
      </w:r>
      <w:r>
        <w:rPr>
          <w:color w:val="000000"/>
        </w:rPr>
        <w:br/>
        <w:t>Дiяльнiсть iнших засобiв тимчасового розмiщування</w:t>
      </w:r>
      <w:r>
        <w:rPr>
          <w:color w:val="000000"/>
        </w:rPr>
        <w:br/>
        <w:t>Дiяльнiсть ресторанiв, надання послуг мобiльного харчування</w:t>
      </w:r>
      <w:r>
        <w:rPr>
          <w:color w:val="000000"/>
        </w:rPr>
        <w:br/>
        <w:t xml:space="preserve">Надання в оренду й експлуатацiю власного чи орендованого нерухомого майна </w:t>
      </w:r>
      <w:r>
        <w:rPr>
          <w:color w:val="000000"/>
        </w:rPr>
        <w:br/>
        <w:t xml:space="preserve">Надання iнших iндивiдуальних послуг, н.в.i.у. </w:t>
      </w:r>
      <w:r>
        <w:rPr>
          <w:color w:val="000000"/>
        </w:rPr>
        <w:br/>
        <w:t>Юридична адреса Товар</w:t>
      </w:r>
      <w:r>
        <w:rPr>
          <w:color w:val="000000"/>
        </w:rPr>
        <w:t>иства: вул. Шевченка, буд. 34, м. Хмельницький, Хмельницька обл., 29000</w:t>
      </w:r>
      <w:r>
        <w:rPr>
          <w:color w:val="000000"/>
        </w:rPr>
        <w:br/>
        <w:t>Функцiональною валютою звiтностi є гривня. Звiтнiсть складена в тисячах гривень.</w:t>
      </w:r>
      <w:r>
        <w:rPr>
          <w:color w:val="000000"/>
        </w:rPr>
        <w:br/>
      </w:r>
      <w:r>
        <w:rPr>
          <w:color w:val="000000"/>
        </w:rPr>
        <w:br/>
        <w:t>2. ОСНОВИ ПРЕДСТАВЛЕННЯ ФIНАНСОВОЇ ЗВIТНОСТI</w:t>
      </w:r>
      <w:r>
        <w:rPr>
          <w:color w:val="000000"/>
        </w:rPr>
        <w:br/>
        <w:t>Товариство перейшло на Мiжнароднi стандарти фiнансової зв</w:t>
      </w:r>
      <w:r>
        <w:rPr>
          <w:color w:val="000000"/>
        </w:rPr>
        <w:t>iтностi (МСФЗ) 1 сiчня 2012 року вiдповiдно до положень МСФЗ (IFRS) 1 “Перше використання мiжнародних стандартiв фiнансової звiтностi”.</w:t>
      </w:r>
      <w:r>
        <w:rPr>
          <w:color w:val="000000"/>
        </w:rPr>
        <w:br/>
        <w:t>Керуючись МСФЗ 1, Товариство обрало першим звiтним перiодом рiк, що закiнчився 31 грудня 2013 року. З цiєї дати фiнансов</w:t>
      </w:r>
      <w:r>
        <w:rPr>
          <w:color w:val="000000"/>
        </w:rPr>
        <w:t>а звiтнiсть Товариства складається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w:t>
      </w:r>
      <w:r>
        <w:rPr>
          <w:color w:val="000000"/>
        </w:rPr>
        <w:t xml:space="preserve"> комiтету з тлумачень, що були затвердженi комiтетом з мiжнародного бухгалтерського облiку та дiяли на дату складання фiнансової звiтностi.</w:t>
      </w:r>
      <w:r>
        <w:rPr>
          <w:color w:val="000000"/>
        </w:rPr>
        <w:br/>
        <w:t>Таким чином, станом на 31.12.2014 року фiнансову звiтнiсть товариства складено згiдно МСБО 1 “Подання фiнансової звi</w:t>
      </w:r>
      <w:r>
        <w:rPr>
          <w:color w:val="000000"/>
        </w:rPr>
        <w:t>тностi”</w:t>
      </w:r>
      <w:r>
        <w:rPr>
          <w:color w:val="000000"/>
        </w:rPr>
        <w:br/>
      </w:r>
      <w:r>
        <w:rPr>
          <w:color w:val="000000"/>
        </w:rPr>
        <w:br/>
        <w:t>3. ПРИЙНЯТТЯ НОВИХ ТА ПЕРЕГЛЯНУТI СТАНДАРТИ</w:t>
      </w:r>
      <w:r>
        <w:rPr>
          <w:color w:val="000000"/>
        </w:rPr>
        <w:br/>
      </w:r>
      <w:r>
        <w:rPr>
          <w:color w:val="000000"/>
        </w:rPr>
        <w:br/>
        <w:t>Ряд нових стандартiв, виправлень до стандартiв i роз'яснень ще не вступили в дiю за станом на 31 грудня 2014 року й не застосовувалися при пiдготовцi даної фiнансової звiтностi. Iз зазначених нововведен</w:t>
      </w:r>
      <w:r>
        <w:rPr>
          <w:color w:val="000000"/>
        </w:rPr>
        <w:t>ь нижченаведенi стандарти, виправлення й роз'яснення потенцiйно можуть вплинути на фiнансове становище або результати дiяльностi товариства. Товариство планує почати застосування зазначених стандартiв, виправлень i роз'яснень iз моменту їх вступу в дiю.</w:t>
      </w:r>
      <w:r>
        <w:rPr>
          <w:color w:val="000000"/>
        </w:rPr>
        <w:br/>
        <w:t>МС</w:t>
      </w:r>
      <w:r>
        <w:rPr>
          <w:color w:val="000000"/>
        </w:rPr>
        <w:t xml:space="preserve">ФО (IFRS) 9 “Фiнансовi iнструменти” </w:t>
      </w:r>
      <w:r>
        <w:rPr>
          <w:color w:val="000000"/>
        </w:rPr>
        <w:br/>
        <w:t>Вступає в дiю у вiдношеннi рiчних звiтних перiодiв, що починаються 1 сiчня 2015 року або пiзнiше. Новий стандарт випускається в кiлька етапiв i в остаточному пiдсумку повинен замiнити собою МСФО (IAS) 39 “Фiнансовi iнст</w:t>
      </w:r>
      <w:r>
        <w:rPr>
          <w:color w:val="000000"/>
        </w:rPr>
        <w:t>рументи: визнання й оцiнка”. Перша частина МСФО (IFRS) 9 була випущено в листопадi 2009 року й стосується питань класифiкацiї й оцiнки фiнансових активiв. Друга частина, що стосується питань класифiкацiї й оцiнки фiнансових зобов'язань, була випущено в жов</w:t>
      </w:r>
      <w:r>
        <w:rPr>
          <w:color w:val="000000"/>
        </w:rPr>
        <w:t>тнi 2010 року.</w:t>
      </w:r>
      <w:r>
        <w:rPr>
          <w:color w:val="000000"/>
        </w:rPr>
        <w:br/>
        <w:t>Товариство визнає, що новий стандарт вносить значнi змiни в процес облiку фiнансових iнструментiв i, вiрогiднiше всього, вплине на фiнансову звiтнiсть. Вплив даних змiн буде проаналiзований у ходi роботи над проектом по мiрi випуску наступни</w:t>
      </w:r>
      <w:r>
        <w:rPr>
          <w:color w:val="000000"/>
        </w:rPr>
        <w:t xml:space="preserve">х частин стандарту. </w:t>
      </w:r>
      <w:r>
        <w:rPr>
          <w:color w:val="000000"/>
        </w:rPr>
        <w:lastRenderedPageBreak/>
        <w:t>Товариство не має намiру застосовувати даний стандарт достроково.</w:t>
      </w:r>
      <w:r>
        <w:rPr>
          <w:color w:val="000000"/>
        </w:rPr>
        <w:br/>
        <w:t xml:space="preserve">Правки к МСФЗ (IАS) 32 “Фiнансовi iнструменти: представлення iнформацiї» </w:t>
      </w:r>
      <w:r>
        <w:rPr>
          <w:color w:val="000000"/>
        </w:rPr>
        <w:br/>
        <w:t>Взаємозалiк фiнансових активiв i фiнансових зобов’язань не вводять нових правил взаємозалiку фiн</w:t>
      </w:r>
      <w:r>
        <w:rPr>
          <w:color w:val="000000"/>
        </w:rPr>
        <w:t>ансових активiв i зобов’язань, а мiстить роз’яснення критерiїв взаємозалiку з метою усунення невiдповiдностей в їх застосуваннi. Правки уточнюють, що пiдприємство на даний момент має юридично дiйсне право робити взаємозалiк, якщо дане право не залежить вiд</w:t>
      </w:r>
      <w:r>
        <w:rPr>
          <w:color w:val="000000"/>
        </w:rPr>
        <w:t xml:space="preserve"> майбутнiх подiй, а також є дiйсним як пiд час здiйснення поточної господарської дiяльностi, так i у випадках невиконання зобов’язань (дефолта), неплатоспроможностi чи банкрутствi пiдприємства та всiх його контрагентiв. Поправки належать ретроспективному з</w:t>
      </w:r>
      <w:r>
        <w:rPr>
          <w:color w:val="000000"/>
        </w:rPr>
        <w:t>астосуванню у вiдношеннi рiчних звiтних перiодiв, що починаються 1 сiчня 2014 року або пiзнiше.</w:t>
      </w:r>
      <w:r>
        <w:rPr>
          <w:color w:val="000000"/>
        </w:rPr>
        <w:br/>
        <w:t>Поправки до МСФЗ (IAS) 1 “Фiнансова звiтнiсть: представлення iнформацiї” – “Представлення статей iншого сукупного доходу”</w:t>
      </w:r>
      <w:r>
        <w:rPr>
          <w:color w:val="000000"/>
        </w:rPr>
        <w:br/>
        <w:t>Правки до МСФЗ (IAS) 1 змiнюють групув</w:t>
      </w:r>
      <w:r>
        <w:rPr>
          <w:color w:val="000000"/>
        </w:rPr>
        <w:t>ання статей, якi надаються у складi iншого сукупного доходу. Статтi, якi можуть бути перекласифiкованi до складу прибуткiв або збиткiв у певний момент у майбутньому (наприклад, чистi витрати або доходи по фiнансовим активам, якi є у наявностi для продажу),</w:t>
      </w:r>
      <w:r>
        <w:rPr>
          <w:color w:val="000000"/>
        </w:rPr>
        <w:t xml:space="preserve"> повиннi приводитися окремо вiд статей, якi нiколи не будуть перекласифiкованi (наприклад, переоцiнка землi та будинкiв). Правка впливає виключно на представлення та не впливає на фiнансове положення або фiнансовi результати дiяльностi Товариства.</w:t>
      </w:r>
      <w:r>
        <w:rPr>
          <w:color w:val="000000"/>
        </w:rPr>
        <w:br/>
        <w:t>МСФЗ (IA</w:t>
      </w:r>
      <w:r>
        <w:rPr>
          <w:color w:val="000000"/>
        </w:rPr>
        <w:t>S) 19 “Винагороди робiтникам” (у новiй редакцiї).</w:t>
      </w:r>
      <w:r>
        <w:rPr>
          <w:color w:val="000000"/>
        </w:rPr>
        <w:br/>
        <w:t>Рада по МСФЗ випустила декiлька правок до МСФЗ (IAS) 19. Цi правки або фундаментально змiнюють (наприклад, виключення механiзму коридору та поняття доходностi активiв плану, яка очiкується), або роз’яснюють</w:t>
      </w:r>
      <w:r>
        <w:rPr>
          <w:color w:val="000000"/>
        </w:rPr>
        <w:t>, або змiнюють визначення. Правка не впливає на фiнансове положення, фiнансовi результати або iнформацiю, яку розкриває Товариство.</w:t>
      </w:r>
      <w:r>
        <w:rPr>
          <w:color w:val="000000"/>
        </w:rPr>
        <w:br/>
        <w:t>МСФЗ (IFRS) 13 “Оцiнка справедливої вартостi”.</w:t>
      </w:r>
      <w:r>
        <w:rPr>
          <w:color w:val="000000"/>
        </w:rPr>
        <w:br/>
        <w:t>МСФЗ (IFRS) 13 поєднує в одному стандартi всi вказiвки щодо оцiнки справедлив</w:t>
      </w:r>
      <w:r>
        <w:rPr>
          <w:color w:val="000000"/>
        </w:rPr>
        <w:t>ої вартостi вiдповiдно до МСФЗ. МСФЗ (IFRS) 13 не вносить змiни в те, коли Товариство зобов’язане використовувати справедливу вартiсть, а надає вказiвки вiдносно оцiнки справедливої вартостi вiдповiдно до МСФЗ, коли використання справедливої вартостi вимаг</w:t>
      </w:r>
      <w:r>
        <w:rPr>
          <w:color w:val="000000"/>
        </w:rPr>
        <w:t xml:space="preserve">ається або не заперечується. На цей час Товариство оцiнює вплив використання стандарту на фiнансове положення та фiнансовi результати його дiяльностi. </w:t>
      </w:r>
      <w:r>
        <w:rPr>
          <w:color w:val="000000"/>
        </w:rPr>
        <w:br/>
        <w:t>Рiзнi “Удосконалення до МСФО” розглядаються стосовно до кожного стандарту окремо. Усi правки, якi привод</w:t>
      </w:r>
      <w:r>
        <w:rPr>
          <w:color w:val="000000"/>
        </w:rPr>
        <w:t>ять до змiн у веденнi бухгалтерського облiку з метою представлення, визнання або оцiнки, набувають чинностi не ранiше 1 сiчня 2014 року. Товариством не проводився аналiз можливого впливу вдосконалень на її фiнансове становище або результати дiяльностi.</w:t>
      </w:r>
      <w:r>
        <w:rPr>
          <w:color w:val="000000"/>
        </w:rPr>
        <w:br/>
        <w:t xml:space="preserve">4. </w:t>
      </w:r>
      <w:r>
        <w:rPr>
          <w:color w:val="000000"/>
        </w:rPr>
        <w:t>ОСНОВНI ПРИНЦИПИ ОБЛIКОВОЇ ПОЛIТИКИ</w:t>
      </w:r>
      <w:r>
        <w:rPr>
          <w:color w:val="000000"/>
        </w:rPr>
        <w:br/>
        <w:t>Основнi засоби</w:t>
      </w:r>
      <w:r>
        <w:rPr>
          <w:color w:val="000000"/>
        </w:rPr>
        <w:br/>
        <w:t>Основнi засоби, придбанi пiсля дати переходу на МСФЗ, враховуються у звiтi про фiнансове положення за первинною вартiстю, що включає всi витрати, необхiднi для доведення активу до стану, придатного до вико</w:t>
      </w:r>
      <w:r>
        <w:rPr>
          <w:color w:val="000000"/>
        </w:rPr>
        <w:t>ристання, за вирахуванням накопиченої амортизацiї i збиткiв вiд знецiнення.</w:t>
      </w:r>
      <w:r>
        <w:rPr>
          <w:color w:val="000000"/>
        </w:rPr>
        <w:br/>
        <w:t>Капiталiзованi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генерувати дохо</w:t>
      </w:r>
      <w:r>
        <w:rPr>
          <w:color w:val="000000"/>
        </w:rPr>
        <w:t>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 понесенi.</w:t>
      </w:r>
      <w:r>
        <w:rPr>
          <w:color w:val="000000"/>
        </w:rPr>
        <w:br/>
        <w:t>Сума, що амортизується, – це первинна вартiс</w:t>
      </w:r>
      <w:r>
        <w:rPr>
          <w:color w:val="000000"/>
        </w:rPr>
        <w:t>ть об'єкту основних засобiв або переоцiнена вартiсть, за вирахуванням його лiквiдацiйної вартостi. Лiквiдацiйна вартiсть активу – це передбачувана сума, яку пiдприємство отримало б на даний момент вiд реалiзацiї об'єкту основних засобiв пiсля вирахування о</w:t>
      </w:r>
      <w:r>
        <w:rPr>
          <w:color w:val="000000"/>
        </w:rPr>
        <w:t>чiкуваних витрат на вибуття, якби даний актив вже досяг того вiку i стану, в якому, iмовiрно, вiн знаходитиметься в кiнцi свого термiну корисного використання.</w:t>
      </w:r>
      <w:r>
        <w:rPr>
          <w:color w:val="000000"/>
        </w:rPr>
        <w:br/>
        <w:t>Амортизацiя основних засобiв призначена для списання суми, що амортизується, впродовж термiну ко</w:t>
      </w:r>
      <w:r>
        <w:rPr>
          <w:color w:val="000000"/>
        </w:rPr>
        <w:t xml:space="preserve">рисного використання активу i розраховується з використанням прямолiнiйного методу. </w:t>
      </w:r>
      <w:r>
        <w:rPr>
          <w:color w:val="000000"/>
        </w:rPr>
        <w:br/>
      </w:r>
      <w:r>
        <w:rPr>
          <w:color w:val="000000"/>
        </w:rPr>
        <w:lastRenderedPageBreak/>
        <w:t xml:space="preserve">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w:t>
      </w:r>
      <w:r>
        <w:rPr>
          <w:color w:val="000000"/>
        </w:rPr>
        <w:t xml:space="preserve">признається в прибутках i збитках. </w:t>
      </w:r>
      <w:r>
        <w:rPr>
          <w:color w:val="000000"/>
        </w:rPr>
        <w:br/>
        <w:t>Нематерiальнi активи</w:t>
      </w:r>
      <w:r>
        <w:rPr>
          <w:color w:val="000000"/>
        </w:rPr>
        <w:br/>
        <w:t>Нематерiальнi активи з кiнцевими термiнами використання, придбанi в рамках окремих операцiй, враховуються за вартiстю придбання за вирахуванням накопиченої амортизацiї i накопиченого збитку вiд знецi</w:t>
      </w:r>
      <w:r>
        <w:rPr>
          <w:color w:val="000000"/>
        </w:rPr>
        <w:t>нення. Амортизацiя нараховується рiвномiрно протягом термiну корисного використання нематерiальних активiв. Очiкуванi термiни корисного використання i метод нарахування амортизацiї аналiзуються на кiнець кожного звiтного перiоду, при цьому всi змiни в оцiн</w:t>
      </w:r>
      <w:r>
        <w:rPr>
          <w:color w:val="000000"/>
        </w:rPr>
        <w:t>ках вiдбиваються в звiтностi без перерахування порiвняльних показникiв.</w:t>
      </w:r>
      <w:r>
        <w:rPr>
          <w:color w:val="000000"/>
        </w:rPr>
        <w:br/>
        <w:t>Нематерiальний актив списується при продажi або коли вiд його майбутнього використання або вибуття не очiкується економiчних вигод. Дохiд або збиток вiд списання нематерiального активу</w:t>
      </w:r>
      <w:r>
        <w:rPr>
          <w:color w:val="000000"/>
        </w:rPr>
        <w:t>, що є рiзницею мiж чистими сумами вiд вибуття i балансовою вартiстю активу, включається в звiт про сукупнi доходи i витрати у момент списання.</w:t>
      </w:r>
      <w:r>
        <w:rPr>
          <w:color w:val="000000"/>
        </w:rPr>
        <w:br/>
        <w:t>Знецiнення основних засобiв i нематерiальних активiв</w:t>
      </w:r>
      <w:r>
        <w:rPr>
          <w:color w:val="000000"/>
        </w:rPr>
        <w:br/>
        <w:t>Товариство проводить перевiрку наявностi iндикаторiв знецiн</w:t>
      </w:r>
      <w:r>
        <w:rPr>
          <w:color w:val="000000"/>
        </w:rPr>
        <w:t>ення балансової вартостi матерiальних i нематерiальних активiв на кожну звiтну дату. В разi виявлення будь-яких таких iндикаторiв розраховується вiдшкодована вартiсть вiдповiдного активу для визначення розмiру збитку вiд знецiнення (якщо такий є). Якщо нем</w:t>
      </w:r>
      <w:r>
        <w:rPr>
          <w:color w:val="000000"/>
        </w:rPr>
        <w:t xml:space="preserve">ожливо оцiнити вiдшкодовану вартiсть окремого активу, Товариство оцiнює вiдшкодовану вартiсть генеруючої одиницi, до якої вiдноситься такий актив. </w:t>
      </w:r>
      <w:r>
        <w:rPr>
          <w:color w:val="000000"/>
        </w:rPr>
        <w:br/>
        <w:t>Нематерiальнi активи з невизначеним термiном корисного використання i нематерiальнi активи, не готовi до вик</w:t>
      </w:r>
      <w:r>
        <w:rPr>
          <w:color w:val="000000"/>
        </w:rPr>
        <w:t>ористання, оцiнюються на предмет знецiнення як мiнiмум щорiк i при виявленнi будь-яких ознак можливого знецiнення.</w:t>
      </w:r>
      <w:r>
        <w:rPr>
          <w:color w:val="000000"/>
        </w:rPr>
        <w:br/>
        <w:t>Вiдшкодована вартiсть визначається як бiльша iз справедливої вартостi активу за вирахуванням витрат на реалiзацiю i експлуатацiйної цiнностi.</w:t>
      </w:r>
      <w:r>
        <w:rPr>
          <w:color w:val="000000"/>
        </w:rPr>
        <w:t xml:space="preserve"> При оцiнцi експлуатацiйної цiнностi, очiкуванi майбутнi потоки грошових коштiв дисконтуються до приведеної вартостi з використанням ставки дисконтування до оподаткування, що вiдображає поточну ринкову оцiнку вартостi грошей в часi i ризикiв, властивих дан</w:t>
      </w:r>
      <w:r>
        <w:rPr>
          <w:color w:val="000000"/>
        </w:rPr>
        <w:t>ому активу, вiдносно яких оцiнка майбутнiх грошових потокiв не коректувалася.</w:t>
      </w:r>
      <w:r>
        <w:rPr>
          <w:color w:val="000000"/>
        </w:rPr>
        <w:br/>
        <w:t>Якщо вiдшкодована вартiсть активу (або генеруючої одиницi) виявляється нижчою за його балансову вартiсть, балансова вартiсть цього активу (генеруючої одиницi) зменшується до вiдш</w:t>
      </w:r>
      <w:r>
        <w:rPr>
          <w:color w:val="000000"/>
        </w:rPr>
        <w:t>кодованої вартостi. Збитки вiд знецiнення вiдразу вiдображаються в прибутках i збитках, за винятком випадкiв, коли актив враховується за оцiненою вартiстю. В цьому випадку збиток вiд знецiнення враховується як зменшення резерву по переоцiнцi.</w:t>
      </w:r>
      <w:r>
        <w:rPr>
          <w:color w:val="000000"/>
        </w:rPr>
        <w:br/>
        <w:t>У випадках, к</w:t>
      </w:r>
      <w:r>
        <w:rPr>
          <w:color w:val="000000"/>
        </w:rPr>
        <w:t>оли збиток вiд знецiнення згодом вiдновлюється, балансова вартiсть активу (генеруючої одиницi) збiльшується до суми, отриманої в результатi нової оцiнки його вiдшкодованої вартостi, так, щоб нова балансова вартiсть не перевищувала балансову вартiсть, яка б</w:t>
      </w:r>
      <w:r>
        <w:rPr>
          <w:color w:val="000000"/>
        </w:rPr>
        <w:t>ула б визначена, якби по цьому активу (генеруючiй одиницi) не був вiдображений збиток вiд знецiнення в попереднi роки. Вiдновлення збитку вiд знецiнення вiдразу ж вiдображається в прибутках i збитках, за винятком випадкiв, коли актив враховується за оцiнен</w:t>
      </w:r>
      <w:r>
        <w:rPr>
          <w:color w:val="000000"/>
        </w:rPr>
        <w:t>ою вартiстю. В цьому випадку вiдновлення збитку вiд знецiнення враховується як збiльшення резерву по переоцiнцi.</w:t>
      </w:r>
      <w:r>
        <w:rPr>
          <w:color w:val="000000"/>
        </w:rPr>
        <w:br/>
      </w:r>
      <w:r>
        <w:rPr>
          <w:color w:val="000000"/>
        </w:rPr>
        <w:br/>
        <w:t>Необоротнi активи, якi утримуються для продажу</w:t>
      </w:r>
      <w:r>
        <w:rPr>
          <w:color w:val="000000"/>
        </w:rPr>
        <w:br/>
        <w:t>Необоротнi активи i групи вибуття, класифiкованi як утримуванi для продажу оцiнюються по наймен</w:t>
      </w:r>
      <w:r>
        <w:rPr>
          <w:color w:val="000000"/>
        </w:rPr>
        <w:t>шiй вартостi — або балансовiй вартостi, або справедливiй вартостi за вирахуванням витрат на продаж. Необоротнi активи, якi утримуються для продажу не пiдлягають амортизацiї.</w:t>
      </w:r>
      <w:r>
        <w:rPr>
          <w:color w:val="000000"/>
        </w:rPr>
        <w:br/>
        <w:t>Грошовi кошти</w:t>
      </w:r>
      <w:r>
        <w:rPr>
          <w:color w:val="000000"/>
        </w:rPr>
        <w:br/>
        <w:t xml:space="preserve">Грошовi кошти включають кошти в касi та грошовi кошти на рахунках у </w:t>
      </w:r>
      <w:r>
        <w:rPr>
          <w:color w:val="000000"/>
        </w:rPr>
        <w:t>банках, а також банкiвськi депозити з початковим строком менше трьох мiсяцiв.</w:t>
      </w:r>
    </w:p>
    <w:p w:rsidR="00000000" w:rsidRDefault="00EB1252">
      <w:pPr>
        <w:pStyle w:val="4"/>
        <w:rPr>
          <w:color w:val="000000"/>
        </w:rPr>
      </w:pPr>
      <w:r>
        <w:rPr>
          <w:color w:val="000000"/>
        </w:rPr>
        <w:t>Продовження тексту приміток</w:t>
      </w:r>
    </w:p>
    <w:p w:rsidR="00000000" w:rsidRDefault="00EB1252">
      <w:pPr>
        <w:spacing w:after="240"/>
        <w:divId w:val="583874808"/>
        <w:rPr>
          <w:color w:val="000000"/>
        </w:rPr>
      </w:pPr>
      <w:r>
        <w:rPr>
          <w:color w:val="000000"/>
        </w:rPr>
        <w:lastRenderedPageBreak/>
        <w:t>Строковi депозити</w:t>
      </w:r>
      <w:r>
        <w:rPr>
          <w:color w:val="000000"/>
        </w:rPr>
        <w:br/>
        <w:t>Строковi депозити включають в себе банкiвськi депозити з початковим строком вiд трьох мiсяцiв до року.</w:t>
      </w:r>
      <w:r>
        <w:rPr>
          <w:color w:val="000000"/>
        </w:rPr>
        <w:br/>
        <w:t>Торгiвельна та iнша кредитор</w:t>
      </w:r>
      <w:r>
        <w:rPr>
          <w:color w:val="000000"/>
        </w:rPr>
        <w:t>ська заборгованiсть</w:t>
      </w:r>
      <w:r>
        <w:rPr>
          <w:color w:val="000000"/>
        </w:rPr>
        <w:br/>
        <w:t>Торгова та iнша кредиторська заборгованiсть оцiнюється при первинному визнаннi за номiнальною вартiстю</w:t>
      </w:r>
      <w:r>
        <w:rPr>
          <w:color w:val="000000"/>
        </w:rPr>
        <w:br/>
        <w:t>Витрати на позики</w:t>
      </w:r>
      <w:r>
        <w:rPr>
          <w:color w:val="000000"/>
        </w:rPr>
        <w:br/>
        <w:t xml:space="preserve">Витрати на позики, якi безпосередньо вiдносяться до придбання, будiвництва або виробництва квалiфiкованого активу, </w:t>
      </w:r>
      <w:r>
        <w:rPr>
          <w:color w:val="000000"/>
        </w:rPr>
        <w:t>тобто активу, пiдготовка якого до передбачуваного використання або для продажу обов'язково вимагає значного часу, додаються до вартостi даних активiв до тих пiр, поки цi активи не будуть, в основному, готовi до передбаченого використання або для продажу. В</w:t>
      </w:r>
      <w:r>
        <w:rPr>
          <w:color w:val="000000"/>
        </w:rPr>
        <w:t>сi iншi витрати на позики визнаються у складi звiту про сукупнi доходи та витрати того перiоду, в якому вони понесенi.</w:t>
      </w:r>
      <w:r>
        <w:rPr>
          <w:color w:val="000000"/>
        </w:rPr>
        <w:br/>
        <w:t>Резерви</w:t>
      </w:r>
      <w:r>
        <w:rPr>
          <w:color w:val="000000"/>
        </w:rPr>
        <w:br/>
        <w:t>Резерви визнаються, коли у Товариства є поточне зобов'язання (юридична або конструктивне), що виникло в результатi минулих подiй,</w:t>
      </w:r>
      <w:r>
        <w:rPr>
          <w:color w:val="000000"/>
        </w:rPr>
        <w:t xml:space="preserve"> для погашення якого, ймовiрно, потрiбне вибуття ресурсiв, що втiлюють економiчнi вигоди, i при цьому можна здiйснити достовiрну оцiнку даного зобов'язання.</w:t>
      </w:r>
      <w:r>
        <w:rPr>
          <w:color w:val="000000"/>
        </w:rPr>
        <w:br/>
        <w:t>Сума, визнана в якостi резерву, є найкращою оцiнкою компенсацiї, необхiдної для врегулювання поточн</w:t>
      </w:r>
      <w:r>
        <w:rPr>
          <w:color w:val="000000"/>
        </w:rPr>
        <w:t>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яких передбачається погасити поточний зобов’язання, його</w:t>
      </w:r>
      <w:r>
        <w:rPr>
          <w:color w:val="000000"/>
        </w:rPr>
        <w:t xml:space="preserve"> балансова вартiсть є поточною вартiстю даних грошових потокiв.</w:t>
      </w:r>
      <w:r>
        <w:rPr>
          <w:color w:val="000000"/>
        </w:rPr>
        <w:br/>
      </w:r>
      <w:r>
        <w:rPr>
          <w:color w:val="000000"/>
        </w:rPr>
        <w:br/>
        <w:t>Запаси</w:t>
      </w:r>
      <w:r>
        <w:rPr>
          <w:color w:val="000000"/>
        </w:rPr>
        <w:br/>
        <w:t>Запаси складаються, головним чином, iз сировини та матерiалiв, якi призначенi для використання у виробництвi готової продукцiї. Запаси вiдображаються за найменшою з двох величин: собiв</w:t>
      </w:r>
      <w:r>
        <w:rPr>
          <w:color w:val="000000"/>
        </w:rPr>
        <w:t>артостi або чистої вартостi реалiзацiї. Собiвартiсть розраховується з використанням методiв ФIФО.</w:t>
      </w:r>
      <w:r>
        <w:rPr>
          <w:color w:val="000000"/>
        </w:rPr>
        <w:br/>
        <w:t>Передплати постачальникам</w:t>
      </w:r>
      <w:r>
        <w:rPr>
          <w:color w:val="000000"/>
        </w:rPr>
        <w:br/>
        <w:t>Передоплати постачальникам вiдображаються за собiвартiстю.</w:t>
      </w:r>
      <w:r>
        <w:rPr>
          <w:color w:val="000000"/>
        </w:rPr>
        <w:br/>
        <w:t>Податок на прибуток</w:t>
      </w:r>
      <w:r>
        <w:rPr>
          <w:color w:val="000000"/>
        </w:rPr>
        <w:br/>
        <w:t>Витрати з податку на прибуток або збиток за рiк є сум</w:t>
      </w:r>
      <w:r>
        <w:rPr>
          <w:color w:val="000000"/>
        </w:rPr>
        <w:t>ою поточного та вiдстроченого податку.</w:t>
      </w:r>
      <w:r>
        <w:rPr>
          <w:color w:val="000000"/>
        </w:rPr>
        <w:br/>
        <w:t>Поточний податок</w:t>
      </w:r>
      <w:r>
        <w:rPr>
          <w:color w:val="000000"/>
        </w:rPr>
        <w:br/>
        <w:t>Сума поточного податку визначається, виходячи з величини оподатковуваного прибутку за рiк. Оподатковуваний прибуток вiдрiзняється вiд прибутку, вiдображеного у звiтi про сукупнi доходи або витрати, че</w:t>
      </w:r>
      <w:r>
        <w:rPr>
          <w:color w:val="000000"/>
        </w:rPr>
        <w:t>рез статтi доходiв або витрат, що пiдлягають оподаткуванню або вирахуванню для цiлей оподаткування в iншi перiоди, а також виключає статтi, якi взагалi не пiдлягають оподаткуванню або вирахуванню для цiлей оподаткування. Зобов'язання щодо поточного податку</w:t>
      </w:r>
      <w:r>
        <w:rPr>
          <w:color w:val="000000"/>
        </w:rPr>
        <w:t xml:space="preserve"> на прибуток розраховується з використанням ставок оподаткування, встановлених законодавством, що набрали чинностi на звiтну дату.</w:t>
      </w:r>
      <w:r>
        <w:rPr>
          <w:color w:val="000000"/>
        </w:rPr>
        <w:br/>
        <w:t>Вiдстрочений податок</w:t>
      </w:r>
      <w:r>
        <w:rPr>
          <w:color w:val="000000"/>
        </w:rPr>
        <w:br/>
        <w:t>Вiдстрочений податок визнається у вiдношеннi тимчасових рiзниць мiж балансовою вартiстю активiв та зобов</w:t>
      </w:r>
      <w:r>
        <w:rPr>
          <w:color w:val="000000"/>
        </w:rPr>
        <w:t xml:space="preserve">'язань, вiдображених у фiнансовiй звiтностi, та вiдповiдними даними податкового облiку, використовуваними при розрахунку оподатковуваного прибутку. Вiдкладенi податковi зобов'язання, як правило, вiдображаються з урахуванням всiх оподатковуваних тимчасових </w:t>
      </w:r>
      <w:r>
        <w:rPr>
          <w:color w:val="000000"/>
        </w:rPr>
        <w:t>рiзниць. Вiдстроченi податковi активи вiдображаються з урахуванням всiх тимчасових рiзниць за умови високої ймовiрностi отримання в майбутньому оподатковуваного прибутку, достатнього для використання цих тимчасових рiзниць. Податковi активи та зобов'язання</w:t>
      </w:r>
      <w:r>
        <w:rPr>
          <w:color w:val="000000"/>
        </w:rPr>
        <w:t xml:space="preserve"> не вiдображаються у фiнансовiй звiтностi, якщо тимчасовi рiзницi пов'язанi з гудвiлом або виникають внаслiдок первiсного визнання iнших активiв i зобов'язань в рамках угод (крiм угод по об'єднанню бiзнесу), якi не впливають нi на оподатковуваний, нi на бу</w:t>
      </w:r>
      <w:r>
        <w:rPr>
          <w:color w:val="000000"/>
        </w:rPr>
        <w:t>хгалтерський прибуток.</w:t>
      </w:r>
      <w:r>
        <w:rPr>
          <w:color w:val="000000"/>
        </w:rPr>
        <w:br/>
        <w:t xml:space="preserve">Балансова вартiсть вiдстрочених податкових активiв переглядається на кiнець кожного звiтного </w:t>
      </w:r>
      <w:r>
        <w:rPr>
          <w:color w:val="000000"/>
        </w:rPr>
        <w:lastRenderedPageBreak/>
        <w:t>перiоду i зменшується, якщо ймовiрнiсть отримання в майбутньому оподатковуваного прибутку, достатньої для повного або часткового використанн</w:t>
      </w:r>
      <w:r>
        <w:rPr>
          <w:color w:val="000000"/>
        </w:rPr>
        <w:t>я цих активiв, бiльш не є високою.</w:t>
      </w:r>
      <w:r>
        <w:rPr>
          <w:color w:val="000000"/>
        </w:rPr>
        <w:br/>
        <w:t>Вiдстроченi податковi активи та зобов'язання з податку на прибуток розраховуються з використанням ставок оподаткування (а також положень податкового законодавства), встановлених законодавством, що набрали або практично на</w:t>
      </w:r>
      <w:r>
        <w:rPr>
          <w:color w:val="000000"/>
        </w:rPr>
        <w:t>брали чинностi на звiтну дату, якi iмовiрно дiятимуть у перiод реалiзацiї податкового активу або погашення зобов'язання. Оцiнка вiдстрочених податкових зобов'язань i активiв вiдображає податковi наслiдки намiрiв Товариства (станом на звiтну дату) у вiдноше</w:t>
      </w:r>
      <w:r>
        <w:rPr>
          <w:color w:val="000000"/>
        </w:rPr>
        <w:t>ннi способiв вiдшкодування або погашення балансової вартостi активiв та зобов'язань.</w:t>
      </w:r>
      <w:r>
        <w:rPr>
          <w:color w:val="000000"/>
        </w:rPr>
        <w:br/>
        <w:t xml:space="preserve">Вiдстроченi податковi активи та зобов'язання показуються у звiтностi згорнуто, якщо iснує законне право провести взаємозалiк поточних податкових активiв i зобов'язань, що </w:t>
      </w:r>
      <w:r>
        <w:rPr>
          <w:color w:val="000000"/>
        </w:rPr>
        <w:t>вiдносяться до податку на прибуток, що справляється одним i тим самим податковим органом, i Товариство має намiр здiйснити взаємозалiк поточних податкових активiв i зобов'язань.</w:t>
      </w:r>
      <w:r>
        <w:rPr>
          <w:color w:val="000000"/>
        </w:rPr>
        <w:br/>
        <w:t>Поточний та вiдстрочений податки за перiод</w:t>
      </w:r>
      <w:r>
        <w:rPr>
          <w:color w:val="000000"/>
        </w:rPr>
        <w:br/>
        <w:t>Поточнi та вiдстроченi податки визн</w:t>
      </w:r>
      <w:r>
        <w:rPr>
          <w:color w:val="000000"/>
        </w:rPr>
        <w:t>аються в прибутках i збитках, крiм випадкiв, коли вони вiдносяться до статей, якi безпосередньо вiдносяться до складу iншого сукупного доходу або власного капiталу. У цьому випадку вiдповiдний податок також визнається в iншому сукупному прибутку або безпос</w:t>
      </w:r>
      <w:r>
        <w:rPr>
          <w:color w:val="000000"/>
        </w:rPr>
        <w:t xml:space="preserve">ередньо в капiталi вiдповiдно. </w:t>
      </w:r>
      <w:r>
        <w:rPr>
          <w:color w:val="000000"/>
        </w:rPr>
        <w:br/>
        <w:t xml:space="preserve">Пенсiйнi зобов’язання </w:t>
      </w:r>
      <w:r>
        <w:rPr>
          <w:color w:val="000000"/>
        </w:rPr>
        <w:br/>
        <w:t>Державний пенсiйний план з визначеними внесками - Товариство здiйснює внески в Державний пенсiйний фонд України виходячи з заробiтної плати кожного працiвника. Витрати Товариства за такими внесками вкл</w:t>
      </w:r>
      <w:r>
        <w:rPr>
          <w:color w:val="000000"/>
        </w:rPr>
        <w:t xml:space="preserve">юченi до статтi «Вiдрахування на соцiальнi заходи». Дана сума включається до витрат того перiоду, коли вони фактично понесенi. </w:t>
      </w:r>
      <w:r>
        <w:rPr>
          <w:color w:val="000000"/>
        </w:rPr>
        <w:br/>
      </w:r>
      <w:r>
        <w:rPr>
          <w:color w:val="000000"/>
        </w:rPr>
        <w:br/>
        <w:t>Визнання доходiв</w:t>
      </w:r>
      <w:r>
        <w:rPr>
          <w:color w:val="000000"/>
        </w:rPr>
        <w:br/>
        <w:t>Доходи вiд реалiзацiї визнаються в розмiрi справедливої вартостi винагороди, отриманої або яка пiдлягає отрима</w:t>
      </w:r>
      <w:r>
        <w:rPr>
          <w:color w:val="000000"/>
        </w:rPr>
        <w:t>нню, i являють собою суми до отримання за продукцiю та послуги, наданi в ходi звичайної господарської дiяльностi, за вирахуванням повернень продукцiї покупцями, знижок та за вирахуванням податку на додану вартiсть (ПДВ).</w:t>
      </w:r>
      <w:r>
        <w:rPr>
          <w:color w:val="000000"/>
        </w:rPr>
        <w:br/>
      </w:r>
      <w:r>
        <w:rPr>
          <w:color w:val="000000"/>
        </w:rPr>
        <w:br/>
        <w:t>Реалiзацiя продукцiї</w:t>
      </w:r>
      <w:r>
        <w:rPr>
          <w:color w:val="000000"/>
        </w:rPr>
        <w:br/>
        <w:t>Доходи вiд ре</w:t>
      </w:r>
      <w:r>
        <w:rPr>
          <w:color w:val="000000"/>
        </w:rPr>
        <w:t>алiзацiї продукцiї визнаються за умови виконання всiх наведених нижче умов:</w:t>
      </w:r>
      <w:r>
        <w:rPr>
          <w:color w:val="000000"/>
        </w:rPr>
        <w:br/>
      </w:r>
      <w:r>
        <w:rPr>
          <w:color w:val="000000"/>
        </w:rPr>
        <w:sym w:font="Symbol" w:char="F02D"/>
      </w:r>
      <w:r>
        <w:rPr>
          <w:color w:val="000000"/>
        </w:rPr>
        <w:t xml:space="preserve"> Товариство передало покупцевi всi iстотнi ризики i вигоди, пов'язанi з володiнням продукцiєю;</w:t>
      </w:r>
      <w:r>
        <w:rPr>
          <w:color w:val="000000"/>
        </w:rPr>
        <w:br/>
      </w:r>
      <w:r>
        <w:rPr>
          <w:color w:val="000000"/>
        </w:rPr>
        <w:sym w:font="Symbol" w:char="F02D"/>
      </w:r>
      <w:r>
        <w:rPr>
          <w:color w:val="000000"/>
        </w:rPr>
        <w:t xml:space="preserve"> </w:t>
      </w:r>
      <w:r>
        <w:rPr>
          <w:color w:val="000000"/>
        </w:rPr>
        <w:t>Товариство бiльше не бере участь в управлiннi в тiй мiрi, яка зазвичай асоцiюється з правом володiння, i не контролює продану продукцiю;</w:t>
      </w:r>
      <w:r>
        <w:rPr>
          <w:color w:val="000000"/>
        </w:rPr>
        <w:br/>
      </w:r>
      <w:r>
        <w:rPr>
          <w:color w:val="000000"/>
        </w:rPr>
        <w:sym w:font="Symbol" w:char="F02D"/>
      </w:r>
      <w:r>
        <w:rPr>
          <w:color w:val="000000"/>
        </w:rPr>
        <w:t xml:space="preserve"> Сума доходiв може бути достовiрно визначена;</w:t>
      </w:r>
      <w:r>
        <w:rPr>
          <w:color w:val="000000"/>
        </w:rPr>
        <w:br/>
      </w:r>
      <w:r>
        <w:rPr>
          <w:color w:val="000000"/>
        </w:rPr>
        <w:sym w:font="Symbol" w:char="F02D"/>
      </w:r>
      <w:r>
        <w:rPr>
          <w:color w:val="000000"/>
        </w:rPr>
        <w:t xml:space="preserve"> Iснує висока вiрогiднiсть отримання економiчних вигод, пов'язаних з оп</w:t>
      </w:r>
      <w:r>
        <w:rPr>
          <w:color w:val="000000"/>
        </w:rPr>
        <w:t>ерацiєю;</w:t>
      </w:r>
      <w:r>
        <w:rPr>
          <w:color w:val="000000"/>
        </w:rPr>
        <w:br/>
      </w:r>
      <w:r>
        <w:rPr>
          <w:color w:val="000000"/>
        </w:rPr>
        <w:sym w:font="Symbol" w:char="F02D"/>
      </w:r>
      <w:r>
        <w:rPr>
          <w:color w:val="000000"/>
        </w:rPr>
        <w:t xml:space="preserve"> Понесенi або очiкуванi витрати, пов'язанi з операцiєю, можуть бути достовiрно визначенi.</w:t>
      </w:r>
      <w:r>
        <w:rPr>
          <w:color w:val="000000"/>
        </w:rPr>
        <w:br/>
      </w:r>
      <w:r>
        <w:rPr>
          <w:color w:val="000000"/>
        </w:rPr>
        <w:br/>
        <w:t>Надання послуг</w:t>
      </w:r>
      <w:r>
        <w:rPr>
          <w:color w:val="000000"/>
        </w:rPr>
        <w:br/>
        <w:t>Дохiд вiд надання послуг в бухгалтерському облiку вiдображається в момент його виникнення незалежно вiд дати надходження або сплати грошових</w:t>
      </w:r>
      <w:r>
        <w:rPr>
          <w:color w:val="000000"/>
        </w:rPr>
        <w:t xml:space="preserve"> коштiв i визначається, виходячи iз ступеня завершеностi операцiї з надання послуг на дату балансу. </w:t>
      </w:r>
      <w:r>
        <w:rPr>
          <w:color w:val="000000"/>
        </w:rPr>
        <w:br/>
        <w:t>Ступiнь завершеностi операцiй з надання послуг визначається, виходячи з питомої ваги затрат, якi понесло пiдприємство у зв’язку з наданням послуг, у загаль</w:t>
      </w:r>
      <w:r>
        <w:rPr>
          <w:color w:val="000000"/>
        </w:rPr>
        <w:t xml:space="preserve">нiй очiкуванiй сумi затрат. </w:t>
      </w:r>
      <w:r>
        <w:rPr>
          <w:color w:val="000000"/>
        </w:rPr>
        <w:br/>
        <w:t>Перерахунок iноземної валюти</w:t>
      </w:r>
      <w:r>
        <w:rPr>
          <w:color w:val="000000"/>
        </w:rPr>
        <w:br/>
        <w:t>Операцiї в iноземнiй валютi облiковуються Товариством в нацiональнiй валютi України – гривнi по курсу Нацiонального банку України на дату операцiї. Монетарнi активи i зобов’язання, вираженi в iнозем</w:t>
      </w:r>
      <w:r>
        <w:rPr>
          <w:color w:val="000000"/>
        </w:rPr>
        <w:t>нiй валютi, перераховуються по курсу Нацiонального банку України на звiтну дату. Всi курсовi рiзницi включаються у звiт про прибутки i збитки.</w:t>
      </w:r>
      <w:r>
        <w:rPr>
          <w:color w:val="000000"/>
        </w:rPr>
        <w:br/>
        <w:t>Немонетарнi статтi, якi оцiнюються на основi iсторичної собiвартостi в iноземнiй валютi, перераховуються по курсу</w:t>
      </w:r>
      <w:r>
        <w:rPr>
          <w:color w:val="000000"/>
        </w:rPr>
        <w:t xml:space="preserve"> Нацiонального банку України на дату первiсної операцiї.</w:t>
      </w:r>
      <w:r>
        <w:rPr>
          <w:color w:val="000000"/>
        </w:rPr>
        <w:br/>
        <w:t>Умовнi зобов’язання та активи</w:t>
      </w:r>
      <w:r>
        <w:rPr>
          <w:color w:val="000000"/>
        </w:rPr>
        <w:br/>
      </w:r>
      <w:r>
        <w:rPr>
          <w:color w:val="000000"/>
        </w:rPr>
        <w:lastRenderedPageBreak/>
        <w:t>Умовнi зобов'язання не визнаються у фiнансовiй звiтностi. Такi зобов'язання розкриваються у примiтках до фiнансової звiтностi, за винятком тих випадкiв, коли ймовiрнiсть</w:t>
      </w:r>
      <w:r>
        <w:rPr>
          <w:color w:val="000000"/>
        </w:rPr>
        <w:t xml:space="preserve"> вiдтоку ресурсiв, що втiлюють економiчнi вигоди, є незначною. </w:t>
      </w:r>
      <w:r>
        <w:rPr>
          <w:color w:val="000000"/>
        </w:rPr>
        <w:br/>
        <w:t>5. IСТОТНI СУДЖЕННЯ I ДЖЕРЕЛА НЕВИЗНАЧЕНОСТI У ОЦIНКАХ</w:t>
      </w:r>
      <w:r>
        <w:rPr>
          <w:color w:val="000000"/>
        </w:rPr>
        <w:br/>
        <w:t>Iстотнi судження в процесi застосування облiкової полiтики.</w:t>
      </w:r>
      <w:r>
        <w:rPr>
          <w:color w:val="000000"/>
        </w:rPr>
        <w:br/>
        <w:t>У процесi застосування облiкової полiтики Товариства керiвництво зробило певн</w:t>
      </w:r>
      <w:r>
        <w:rPr>
          <w:color w:val="000000"/>
        </w:rPr>
        <w:t xml:space="preserve">i професiйнi судження, окрiм тих, якi вимагають використання оцiнок, якi мають найбiльш iстотний вплив на суми, визнанi в фiнансовiй звiтностi. Цi судження, серед iншого, включають правомiрнiсть застосування припущення щодо здатностi вести свою дiяльнiсть </w:t>
      </w:r>
      <w:r>
        <w:rPr>
          <w:color w:val="000000"/>
        </w:rPr>
        <w:t>на безперервнiй основi.</w:t>
      </w:r>
      <w:r>
        <w:rPr>
          <w:color w:val="000000"/>
        </w:rPr>
        <w:br/>
        <w:t>Основнi джерела невизначеностi оцiнок. Нижче наведенi ключовi припущення щодо майбутнього, а також основнi джерела невизначеностi оцiнок на кiнець звiтного перiоду, якi мають iстотний ризик стати причиною внесення суттєвих коригуван</w:t>
      </w:r>
      <w:r>
        <w:rPr>
          <w:color w:val="000000"/>
        </w:rPr>
        <w:t>ь до балансової вартостi активiв та зобов'язань протягом наступного фiнансового року.</w:t>
      </w:r>
      <w:r>
        <w:rPr>
          <w:color w:val="000000"/>
        </w:rPr>
        <w:br/>
        <w:t>(а) Строки корисного використання основних засобiв</w:t>
      </w:r>
      <w:r>
        <w:rPr>
          <w:color w:val="000000"/>
        </w:rPr>
        <w:br/>
        <w:t>Оцiнка строкiв корисного використання об’єктiв основних засобiв залежить вiд професiйного судження керiвництва з врахув</w:t>
      </w:r>
      <w:r>
        <w:rPr>
          <w:color w:val="000000"/>
        </w:rPr>
        <w:t>анням вимог податкового законодавства. При визначеннi строкiв корисного використання активiв керiвництво бере до уваги умови очiкуваного використання активiв, моральний знос, фiзичний знос i умови працi, в яких будуть експлуатуватися данi активи. Змiна буд</w:t>
      </w:r>
      <w:r>
        <w:rPr>
          <w:color w:val="000000"/>
        </w:rPr>
        <w:t>ь-якого з цих умов або оцiнок може в результатi привести до коригування майбутнiх норм амортизацiї.</w:t>
      </w:r>
      <w:r>
        <w:rPr>
          <w:color w:val="000000"/>
        </w:rPr>
        <w:br/>
        <w:t>(в) Вiдстроченi податковi активи</w:t>
      </w:r>
      <w:r>
        <w:rPr>
          <w:color w:val="000000"/>
        </w:rPr>
        <w:br/>
        <w:t>Податковий кодекс України, а саме роздiл його III, який втупив в дiю з 01.04.2011 року, суттєво змiнив податковi закони i с</w:t>
      </w:r>
      <w:r>
        <w:rPr>
          <w:color w:val="000000"/>
        </w:rPr>
        <w:t>тавки оподаткування. Суми i термiни сторнування тимчасових рiзниць залежать вiд прийняття iстотних суджень керiвництва Товариства на пiдставi оцiнки майбутньої облiкової та податкової вартостi основних засобiв.</w:t>
      </w:r>
      <w:r>
        <w:rPr>
          <w:color w:val="000000"/>
        </w:rPr>
        <w:br/>
        <w:t>Вiдстроченi податковi активи визнаються для в</w:t>
      </w:r>
      <w:r>
        <w:rPr>
          <w:color w:val="000000"/>
        </w:rPr>
        <w:t>сiх невикористаних податкових збиткiв в тiй мiрi, в якiй ймовiрно отримання оподатковуваного прибутку, за рахунок якого можливо буде реалiзувати данi збитки. Вiд керiвництва вимагається прийняття iстотного професiйного судження при визначеннi суми вiдстроч</w:t>
      </w:r>
      <w:r>
        <w:rPr>
          <w:color w:val="000000"/>
        </w:rPr>
        <w:t>ених податкових активiв, якi можна визнати, на основi очiкуваного термiну i рiвня оподатковуваних прибуткiв з урахуванням стратегiї майбутнього податкового планування.</w:t>
      </w:r>
      <w:r>
        <w:rPr>
          <w:color w:val="000000"/>
        </w:rPr>
        <w:br/>
        <w:t>6. ПОВ’ЯЗАНI СТОРОНИ</w:t>
      </w:r>
      <w:r>
        <w:rPr>
          <w:color w:val="000000"/>
        </w:rPr>
        <w:br/>
        <w:t>Пiдприємство не здiйснювало операцiй з пов’язаними сторонами, якi б</w:t>
      </w:r>
      <w:r>
        <w:rPr>
          <w:color w:val="000000"/>
        </w:rPr>
        <w:t xml:space="preserve"> суттєво вплинули на його фiнансову звiтнiсть або стосуються управлiнського персоналу. Управлiнський персонал ПАТ “Готель Подiлля” не має фiнансових та iнших iнтересiв у пов’язаних сторонах або в операцiях з пов’язаними сторонами.</w:t>
      </w:r>
      <w:r>
        <w:rPr>
          <w:color w:val="000000"/>
        </w:rPr>
        <w:br/>
      </w:r>
      <w:r>
        <w:rPr>
          <w:color w:val="000000"/>
        </w:rPr>
        <w:br/>
        <w:t>7. ВИРУЧКА ВIД РЕАЛIЗАЦI</w:t>
      </w:r>
      <w:r>
        <w:rPr>
          <w:color w:val="000000"/>
        </w:rPr>
        <w:t>Ї</w:t>
      </w:r>
      <w:r>
        <w:rPr>
          <w:color w:val="000000"/>
        </w:rPr>
        <w:br/>
        <w:t>Виручка вiд реалiзацiї була представлена наступним чином:</w:t>
      </w:r>
      <w:r>
        <w:rPr>
          <w:color w:val="000000"/>
        </w:rPr>
        <w:br/>
        <w:t>2014 рiк</w:t>
      </w:r>
      <w:r>
        <w:rPr>
          <w:color w:val="000000"/>
        </w:rPr>
        <w:br/>
        <w:t xml:space="preserve">Виручка вiд реалiзацiї продукцiї, товарiв, робiт, послуг 3898 </w:t>
      </w:r>
      <w:r>
        <w:rPr>
          <w:color w:val="000000"/>
        </w:rPr>
        <w:br/>
        <w:t>Всього 3898</w:t>
      </w:r>
      <w:r>
        <w:rPr>
          <w:color w:val="000000"/>
        </w:rPr>
        <w:br/>
        <w:t>8. СОБIВАРТIСТЬ РЕАЛIЗАЦIЇ</w:t>
      </w:r>
      <w:r>
        <w:rPr>
          <w:color w:val="000000"/>
        </w:rPr>
        <w:br/>
        <w:t>Собiвартiсть вiд реалiзацiї була представлена наступним чином:</w:t>
      </w:r>
      <w:r>
        <w:rPr>
          <w:color w:val="000000"/>
        </w:rPr>
        <w:br/>
        <w:t>2014 рiк</w:t>
      </w:r>
      <w:r>
        <w:rPr>
          <w:color w:val="000000"/>
        </w:rPr>
        <w:br/>
        <w:t xml:space="preserve">Собiвартiсть </w:t>
      </w:r>
      <w:r>
        <w:rPr>
          <w:color w:val="000000"/>
        </w:rPr>
        <w:t>реалiзованих продукцiї, товарiв, робiт, послуг (2934)</w:t>
      </w:r>
      <w:r>
        <w:rPr>
          <w:color w:val="000000"/>
        </w:rPr>
        <w:br/>
        <w:t>Всього (2934)</w:t>
      </w:r>
      <w:r>
        <w:rPr>
          <w:color w:val="000000"/>
        </w:rPr>
        <w:br/>
        <w:t>9. АДМIНIСТРАТИВНI ВИТРАТИ</w:t>
      </w:r>
      <w:r>
        <w:rPr>
          <w:color w:val="000000"/>
        </w:rPr>
        <w:br/>
        <w:t>Адмiнiстративнi витрати були представленi наступним чином:</w:t>
      </w:r>
      <w:r>
        <w:rPr>
          <w:color w:val="000000"/>
        </w:rPr>
        <w:br/>
        <w:t>2014 рiк</w:t>
      </w:r>
      <w:r>
        <w:rPr>
          <w:color w:val="000000"/>
        </w:rPr>
        <w:br/>
        <w:t>Заробiтна плата та вiдповiднi нарахування (678)</w:t>
      </w:r>
      <w:r>
        <w:rPr>
          <w:color w:val="000000"/>
        </w:rPr>
        <w:br/>
        <w:t>Податки i обов’язковi платежi (112)</w:t>
      </w:r>
      <w:r>
        <w:rPr>
          <w:color w:val="000000"/>
        </w:rPr>
        <w:br/>
        <w:t>Амортизац</w:t>
      </w:r>
      <w:r>
        <w:rPr>
          <w:color w:val="000000"/>
        </w:rPr>
        <w:t>iя (7)</w:t>
      </w:r>
      <w:r>
        <w:rPr>
          <w:color w:val="000000"/>
        </w:rPr>
        <w:br/>
      </w:r>
      <w:r>
        <w:rPr>
          <w:color w:val="000000"/>
        </w:rPr>
        <w:lastRenderedPageBreak/>
        <w:t>Послуги зв'язку (10)</w:t>
      </w:r>
      <w:r>
        <w:rPr>
          <w:color w:val="000000"/>
        </w:rPr>
        <w:br/>
        <w:t>Послуги банку (3)</w:t>
      </w:r>
      <w:r>
        <w:rPr>
          <w:color w:val="000000"/>
        </w:rPr>
        <w:br/>
        <w:t>Iншi (119)</w:t>
      </w:r>
      <w:r>
        <w:rPr>
          <w:color w:val="000000"/>
        </w:rPr>
        <w:br/>
        <w:t>Всього (929)</w:t>
      </w:r>
      <w:r>
        <w:rPr>
          <w:color w:val="000000"/>
        </w:rPr>
        <w:br/>
        <w:t>10. ВИТРАТИ НА ЗБУТ</w:t>
      </w:r>
      <w:r>
        <w:rPr>
          <w:color w:val="000000"/>
        </w:rPr>
        <w:br/>
        <w:t>Витрати на збут були представленi наступним чином:</w:t>
      </w:r>
      <w:r>
        <w:rPr>
          <w:color w:val="000000"/>
        </w:rPr>
        <w:br/>
      </w:r>
      <w:r>
        <w:rPr>
          <w:color w:val="000000"/>
        </w:rPr>
        <w:br/>
        <w:t>2014 рiк</w:t>
      </w:r>
      <w:r>
        <w:rPr>
          <w:color w:val="000000"/>
        </w:rPr>
        <w:br/>
        <w:t>Заробiтна плата та вiдповiднi нарахування (279)</w:t>
      </w:r>
      <w:r>
        <w:rPr>
          <w:color w:val="000000"/>
        </w:rPr>
        <w:br/>
        <w:t>Амортизацiя (7)</w:t>
      </w:r>
      <w:r>
        <w:rPr>
          <w:color w:val="000000"/>
        </w:rPr>
        <w:br/>
        <w:t>Матерiальнi витрати (26)</w:t>
      </w:r>
      <w:r>
        <w:rPr>
          <w:color w:val="000000"/>
        </w:rPr>
        <w:br/>
        <w:t>Iншi (42)</w:t>
      </w:r>
      <w:r>
        <w:rPr>
          <w:color w:val="000000"/>
        </w:rPr>
        <w:br/>
        <w:t>Всього</w:t>
      </w:r>
      <w:r>
        <w:rPr>
          <w:color w:val="000000"/>
        </w:rPr>
        <w:t xml:space="preserve"> (354)</w:t>
      </w:r>
      <w:r>
        <w:rPr>
          <w:color w:val="000000"/>
        </w:rPr>
        <w:br/>
        <w:t>11. IНШI ОПЕРАЦIЙНI ДОХОДИ ТА ВИТРАТИ</w:t>
      </w:r>
      <w:r>
        <w:rPr>
          <w:color w:val="000000"/>
        </w:rPr>
        <w:br/>
        <w:t>Iншi операцiйнi доходи та витрати були представленi наступним чином:</w:t>
      </w:r>
      <w:r>
        <w:rPr>
          <w:color w:val="000000"/>
        </w:rPr>
        <w:br/>
        <w:t>2014 рiк</w:t>
      </w:r>
      <w:r>
        <w:rPr>
          <w:color w:val="000000"/>
        </w:rPr>
        <w:br/>
        <w:t>доходи витрати</w:t>
      </w:r>
      <w:r>
        <w:rPr>
          <w:color w:val="000000"/>
        </w:rPr>
        <w:br/>
        <w:t xml:space="preserve">Доходи (витрати) вiд купiвлi-продажу iноземної валюти </w:t>
      </w:r>
      <w:r>
        <w:rPr>
          <w:color w:val="000000"/>
        </w:rPr>
        <w:br/>
        <w:t xml:space="preserve">Доходи (витрати) вiд операцiйної оренди </w:t>
      </w:r>
      <w:r>
        <w:rPr>
          <w:color w:val="000000"/>
        </w:rPr>
        <w:br/>
        <w:t xml:space="preserve">Визнанi штрафи, пенi, </w:t>
      </w:r>
      <w:r>
        <w:rPr>
          <w:color w:val="000000"/>
        </w:rPr>
        <w:t>неустойки (5)</w:t>
      </w:r>
      <w:r>
        <w:rPr>
          <w:color w:val="000000"/>
        </w:rPr>
        <w:br/>
        <w:t xml:space="preserve">Доходи (витрати) вiд реалiзацiї iнших оборотних активiв </w:t>
      </w:r>
      <w:r>
        <w:rPr>
          <w:color w:val="000000"/>
        </w:rPr>
        <w:br/>
        <w:t xml:space="preserve">Доходи (витрати) вiд операцiйної курсової рiзницi </w:t>
      </w:r>
      <w:r>
        <w:rPr>
          <w:color w:val="000000"/>
        </w:rPr>
        <w:br/>
        <w:t xml:space="preserve">Доходи вiд вiдшкодування ранiше списаних активiв (втрати вiд списання активiв) </w:t>
      </w:r>
      <w:r>
        <w:rPr>
          <w:color w:val="000000"/>
        </w:rPr>
        <w:br/>
        <w:t xml:space="preserve">Доходи вiд списання кредиторської заборгованостi </w:t>
      </w:r>
      <w:r>
        <w:rPr>
          <w:color w:val="000000"/>
        </w:rPr>
        <w:br/>
        <w:t>Iншi</w:t>
      </w:r>
      <w:r>
        <w:rPr>
          <w:color w:val="000000"/>
        </w:rPr>
        <w:t xml:space="preserve"> доходи/(витрати) 1 </w:t>
      </w:r>
      <w:r>
        <w:rPr>
          <w:color w:val="000000"/>
        </w:rPr>
        <w:br/>
        <w:t>Всього 1 (5)</w:t>
      </w:r>
      <w:r>
        <w:rPr>
          <w:color w:val="000000"/>
        </w:rPr>
        <w:br/>
      </w:r>
      <w:r>
        <w:rPr>
          <w:color w:val="000000"/>
        </w:rPr>
        <w:br/>
        <w:t>12. ОСНОВНI ЗАСОБИ</w:t>
      </w:r>
      <w:r>
        <w:rPr>
          <w:color w:val="000000"/>
        </w:rPr>
        <w:br/>
        <w:t>Станом на 31 грудня основнi засоби Товариства були представленi наступним чином:</w:t>
      </w:r>
      <w:r>
        <w:rPr>
          <w:color w:val="000000"/>
        </w:rPr>
        <w:br/>
        <w:t>Будинки, споруди та передавальнi пристрої Машини та обладнання Транспортнi засоби Iнструменти, прилади, iнвентар Iншi осн</w:t>
      </w:r>
      <w:r>
        <w:rPr>
          <w:color w:val="000000"/>
        </w:rPr>
        <w:t>овнi засоби Малоцiннi необоротнi матерiальнi активи Всього</w:t>
      </w:r>
      <w:r>
        <w:rPr>
          <w:color w:val="000000"/>
        </w:rPr>
        <w:br/>
        <w:t>Первiсна вартiсть станом на початок звiтного року 6153 480 472 307 100 1012 8524</w:t>
      </w:r>
      <w:r>
        <w:rPr>
          <w:color w:val="000000"/>
        </w:rPr>
        <w:br/>
        <w:t>Придбано основних засобiв 78 2 88 168</w:t>
      </w:r>
      <w:r>
        <w:rPr>
          <w:color w:val="000000"/>
        </w:rPr>
        <w:br/>
        <w:t>Вибуло 32 2 39 73</w:t>
      </w:r>
      <w:r>
        <w:rPr>
          <w:color w:val="000000"/>
        </w:rPr>
        <w:br/>
        <w:t>Первiсна вартiсть станом на кiнець звiтного перiоду 6153 526</w:t>
      </w:r>
      <w:r>
        <w:rPr>
          <w:color w:val="000000"/>
        </w:rPr>
        <w:t xml:space="preserve"> 472 307 100 1061 8619</w:t>
      </w:r>
      <w:r>
        <w:rPr>
          <w:color w:val="000000"/>
        </w:rPr>
        <w:br/>
        <w:t>Накопичена амортизацiя станом на початок звiтного року 2774 351 333 180 69 966 4673</w:t>
      </w:r>
      <w:r>
        <w:rPr>
          <w:color w:val="000000"/>
        </w:rPr>
        <w:br/>
        <w:t>Амортизацiйнi нарахування за звiтний перiод 172 37 27 29 6 33 304</w:t>
      </w:r>
      <w:r>
        <w:rPr>
          <w:color w:val="000000"/>
        </w:rPr>
        <w:br/>
        <w:t>Вибуло 2 13 15</w:t>
      </w:r>
      <w:r>
        <w:rPr>
          <w:color w:val="000000"/>
        </w:rPr>
        <w:br/>
        <w:t>Амортизацiя станом на кiнець звiтного перiоду 2946 386 360 209 75 98</w:t>
      </w:r>
      <w:r>
        <w:rPr>
          <w:color w:val="000000"/>
        </w:rPr>
        <w:t>6 4962</w:t>
      </w:r>
      <w:r>
        <w:rPr>
          <w:color w:val="000000"/>
        </w:rPr>
        <w:br/>
        <w:t>Балансова вартiсть станом на кiнець звiтного перiоду 3207 140 112 98 25 75 3657</w:t>
      </w:r>
    </w:p>
    <w:p w:rsidR="00000000" w:rsidRDefault="00EB1252">
      <w:pPr>
        <w:pStyle w:val="4"/>
        <w:rPr>
          <w:color w:val="000000"/>
        </w:rPr>
      </w:pPr>
      <w:r>
        <w:rPr>
          <w:color w:val="000000"/>
        </w:rPr>
        <w:t>Продовження тексту приміток</w:t>
      </w:r>
    </w:p>
    <w:p w:rsidR="00000000" w:rsidRDefault="00EB1252">
      <w:pPr>
        <w:spacing w:after="240"/>
        <w:divId w:val="270358535"/>
        <w:rPr>
          <w:color w:val="000000"/>
        </w:rPr>
      </w:pPr>
      <w:r>
        <w:rPr>
          <w:color w:val="000000"/>
        </w:rPr>
        <w:t>13. ЗАПАСИ</w:t>
      </w:r>
      <w:r>
        <w:rPr>
          <w:color w:val="000000"/>
        </w:rPr>
        <w:br/>
        <w:t>Запаси Товариства були представленi наступним чином:</w:t>
      </w:r>
      <w:r>
        <w:rPr>
          <w:color w:val="000000"/>
        </w:rPr>
        <w:br/>
        <w:t>Запаси 31 грудня 2014 року</w:t>
      </w:r>
      <w:r>
        <w:rPr>
          <w:color w:val="000000"/>
        </w:rPr>
        <w:br/>
        <w:t>Сировина i матерiали 78</w:t>
      </w:r>
      <w:r>
        <w:rPr>
          <w:color w:val="000000"/>
        </w:rPr>
        <w:br/>
        <w:t>Паливо 2</w:t>
      </w:r>
      <w:r>
        <w:rPr>
          <w:color w:val="000000"/>
        </w:rPr>
        <w:br/>
      </w:r>
      <w:r>
        <w:rPr>
          <w:color w:val="000000"/>
        </w:rPr>
        <w:t>Тата i тарнi матерiали -</w:t>
      </w:r>
      <w:r>
        <w:rPr>
          <w:color w:val="000000"/>
        </w:rPr>
        <w:br/>
        <w:t>Будiвельнi матерiали -</w:t>
      </w:r>
      <w:r>
        <w:rPr>
          <w:color w:val="000000"/>
        </w:rPr>
        <w:br/>
        <w:t>Запаснi частини 7</w:t>
      </w:r>
      <w:r>
        <w:rPr>
          <w:color w:val="000000"/>
        </w:rPr>
        <w:br/>
        <w:t>Незавершене виробництво 1</w:t>
      </w:r>
      <w:r>
        <w:rPr>
          <w:color w:val="000000"/>
        </w:rPr>
        <w:br/>
      </w:r>
      <w:r>
        <w:rPr>
          <w:color w:val="000000"/>
        </w:rPr>
        <w:lastRenderedPageBreak/>
        <w:t>Готова продукцiя -</w:t>
      </w:r>
      <w:r>
        <w:rPr>
          <w:color w:val="000000"/>
        </w:rPr>
        <w:br/>
        <w:t>Товари 64</w:t>
      </w:r>
      <w:r>
        <w:rPr>
          <w:color w:val="000000"/>
        </w:rPr>
        <w:br/>
        <w:t>Всього 152</w:t>
      </w:r>
      <w:r>
        <w:rPr>
          <w:color w:val="000000"/>
        </w:rPr>
        <w:br/>
      </w:r>
      <w:r>
        <w:rPr>
          <w:color w:val="000000"/>
        </w:rPr>
        <w:br/>
        <w:t>14. ТОРГIВЕЛЬНА ТА IНША ДЕБIТОРСЬКА ЗАБОРГОВАНIСТЬ, НЕТТО</w:t>
      </w:r>
      <w:r>
        <w:rPr>
          <w:color w:val="000000"/>
        </w:rPr>
        <w:br/>
        <w:t>Станом на 31 грудня 2014 року торговельна i iнша дебiторська забо</w:t>
      </w:r>
      <w:r>
        <w:rPr>
          <w:color w:val="000000"/>
        </w:rPr>
        <w:t>ргованiсть були представленi таким чином:</w:t>
      </w:r>
      <w:r>
        <w:rPr>
          <w:color w:val="000000"/>
        </w:rPr>
        <w:br/>
        <w:t>Дебiторська заборгованiсть 31 грудня 2014 року</w:t>
      </w:r>
      <w:r>
        <w:rPr>
          <w:color w:val="000000"/>
        </w:rPr>
        <w:br/>
        <w:t>Дебiторська заборгованiсть за продукцiю, товари, роботи, послуги 268</w:t>
      </w:r>
      <w:r>
        <w:rPr>
          <w:color w:val="000000"/>
        </w:rPr>
        <w:br/>
        <w:t>Iнша дебiторська заборгованiсть 10</w:t>
      </w:r>
      <w:r>
        <w:rPr>
          <w:color w:val="000000"/>
        </w:rPr>
        <w:br/>
        <w:t>Всього 278</w:t>
      </w:r>
      <w:r>
        <w:rPr>
          <w:color w:val="000000"/>
        </w:rPr>
        <w:br/>
        <w:t>15. ПЕРЕДПЛАТИ ТА IНШI ОБОРОТНI АКТИВИ, НЕТТО</w:t>
      </w:r>
      <w:r>
        <w:rPr>
          <w:color w:val="000000"/>
        </w:rPr>
        <w:br/>
        <w:t>Станом</w:t>
      </w:r>
      <w:r>
        <w:rPr>
          <w:color w:val="000000"/>
        </w:rPr>
        <w:t xml:space="preserve"> на 31 грудня 2014 року передплати та iншi оборотнi активи були представленi таким чином:</w:t>
      </w:r>
      <w:r>
        <w:rPr>
          <w:color w:val="000000"/>
        </w:rPr>
        <w:br/>
        <w:t>Дебiторська заборгованiсть 31 грудня 2014 року</w:t>
      </w:r>
      <w:r>
        <w:rPr>
          <w:color w:val="000000"/>
        </w:rPr>
        <w:br/>
        <w:t>Аванси постачальникам 56</w:t>
      </w:r>
      <w:r>
        <w:rPr>
          <w:color w:val="000000"/>
        </w:rPr>
        <w:br/>
        <w:t>Iншi оборотнi активи -</w:t>
      </w:r>
      <w:r>
        <w:rPr>
          <w:color w:val="000000"/>
        </w:rPr>
        <w:br/>
        <w:t>Всього 56</w:t>
      </w:r>
      <w:r>
        <w:rPr>
          <w:color w:val="000000"/>
        </w:rPr>
        <w:br/>
        <w:t>Передплати, зробленi третiм сторонам, переважно являють собою</w:t>
      </w:r>
      <w:r>
        <w:rPr>
          <w:color w:val="000000"/>
        </w:rPr>
        <w:t xml:space="preserve"> передплати, зробленi за матерiали та енергоносiї.</w:t>
      </w:r>
      <w:r>
        <w:rPr>
          <w:color w:val="000000"/>
        </w:rPr>
        <w:br/>
      </w:r>
      <w:r>
        <w:rPr>
          <w:color w:val="000000"/>
        </w:rPr>
        <w:br/>
        <w:t>16. ГРОШОВI КОШТИ ТА КОРОТКОСТРОКОВI ДЕПОЗИТИ</w:t>
      </w:r>
      <w:r>
        <w:rPr>
          <w:color w:val="000000"/>
        </w:rPr>
        <w:br/>
        <w:t>Станом на 31 грудня 2012 року грошовi кошти були представленi наступним чином:</w:t>
      </w:r>
      <w:r>
        <w:rPr>
          <w:color w:val="000000"/>
        </w:rPr>
        <w:br/>
        <w:t>Грошовi кошти 31 грудня 2012 року</w:t>
      </w:r>
      <w:r>
        <w:rPr>
          <w:color w:val="000000"/>
        </w:rPr>
        <w:br/>
        <w:t>Грошовi кошти в нацiональнiй валютi на поточн</w:t>
      </w:r>
      <w:r>
        <w:rPr>
          <w:color w:val="000000"/>
        </w:rPr>
        <w:t>их рахунках i в касi 81</w:t>
      </w:r>
      <w:r>
        <w:rPr>
          <w:color w:val="000000"/>
        </w:rPr>
        <w:br/>
        <w:t>Грошовi кошти в нацiональнiй валютi на депозитних рахунках 0</w:t>
      </w:r>
      <w:r>
        <w:rPr>
          <w:color w:val="000000"/>
        </w:rPr>
        <w:br/>
        <w:t>Грошовi кошти в iноземнiй валютi на поточних рахунках 0</w:t>
      </w:r>
      <w:r>
        <w:rPr>
          <w:color w:val="000000"/>
        </w:rPr>
        <w:br/>
        <w:t>Всього 81</w:t>
      </w:r>
      <w:r>
        <w:rPr>
          <w:color w:val="000000"/>
        </w:rPr>
        <w:br/>
        <w:t>17. КАПIТАЛ, ЯКИЙ БУЛО ВИПУЩЕНО</w:t>
      </w:r>
      <w:r>
        <w:rPr>
          <w:color w:val="000000"/>
        </w:rPr>
        <w:br/>
        <w:t>Станом на 31 грудня 2014 року статутний капiтал Товариства становить 1836</w:t>
      </w:r>
      <w:r>
        <w:rPr>
          <w:color w:val="000000"/>
        </w:rPr>
        <w:t xml:space="preserve"> тис. грн., роздiлений на 7344760 простих iменних акцiй. </w:t>
      </w:r>
      <w:r>
        <w:rPr>
          <w:color w:val="000000"/>
        </w:rPr>
        <w:br/>
      </w:r>
      <w:r>
        <w:rPr>
          <w:color w:val="000000"/>
        </w:rPr>
        <w:br/>
        <w:t>18. ТОРГIВЕЛЬНА ТА IНША КРЕДИТОРСЬКА ЗАБОРГОВАНIСТЬ</w:t>
      </w:r>
      <w:r>
        <w:rPr>
          <w:color w:val="000000"/>
        </w:rPr>
        <w:br/>
        <w:t>Станом на 31 грудня 2014 року торгiвельна та iнша кредиторська заборгованiсть були представленi наступним чином:</w:t>
      </w:r>
      <w:r>
        <w:rPr>
          <w:color w:val="000000"/>
        </w:rPr>
        <w:br/>
        <w:t>Кредиторська заборгованiсть 31 г</w:t>
      </w:r>
      <w:r>
        <w:rPr>
          <w:color w:val="000000"/>
        </w:rPr>
        <w:t>рудня 2014 року</w:t>
      </w:r>
      <w:r>
        <w:rPr>
          <w:color w:val="000000"/>
        </w:rPr>
        <w:br/>
        <w:t>Заборгованiсть постачальникам за сировину, матерiали, послуги 124</w:t>
      </w:r>
      <w:r>
        <w:rPr>
          <w:color w:val="000000"/>
        </w:rPr>
        <w:br/>
        <w:t>Iнша кредиторська заборгованiсть 659</w:t>
      </w:r>
      <w:r>
        <w:rPr>
          <w:color w:val="000000"/>
        </w:rPr>
        <w:br/>
        <w:t>Всього 783</w:t>
      </w:r>
      <w:r>
        <w:rPr>
          <w:color w:val="000000"/>
        </w:rPr>
        <w:br/>
        <w:t xml:space="preserve">19. ПЕРЕДПЛАТИ ОТРИМАНI ТА IНШI КОРОТКОСТРОКОВI ЗОБОВ’ЯЗАННЯ </w:t>
      </w:r>
      <w:r>
        <w:rPr>
          <w:color w:val="000000"/>
        </w:rPr>
        <w:br/>
        <w:t>Станом на 31 грудня 2014 року передплати отриманi та iншi коротк</w:t>
      </w:r>
      <w:r>
        <w:rPr>
          <w:color w:val="000000"/>
        </w:rPr>
        <w:t>остроковi зобов’язання були представленi наступним чином:</w:t>
      </w:r>
      <w:r>
        <w:rPr>
          <w:color w:val="000000"/>
        </w:rPr>
        <w:br/>
        <w:t>Кредиторська заборгованiсть 31 грудня 2014 року</w:t>
      </w:r>
      <w:r>
        <w:rPr>
          <w:color w:val="000000"/>
        </w:rPr>
        <w:br/>
        <w:t>Передплати отриманi 245</w:t>
      </w:r>
      <w:r>
        <w:rPr>
          <w:color w:val="000000"/>
        </w:rPr>
        <w:br/>
        <w:t>Кредиторська заборгованiсть перед бюджетом 51</w:t>
      </w:r>
      <w:r>
        <w:rPr>
          <w:color w:val="000000"/>
        </w:rPr>
        <w:br/>
        <w:t>Кредиторська заборгованiсть зi страхування 29</w:t>
      </w:r>
      <w:r>
        <w:rPr>
          <w:color w:val="000000"/>
        </w:rPr>
        <w:br/>
        <w:t>Кредиторська заборгованiсть з опла</w:t>
      </w:r>
      <w:r>
        <w:rPr>
          <w:color w:val="000000"/>
        </w:rPr>
        <w:t>ти працi 69</w:t>
      </w:r>
      <w:r>
        <w:rPr>
          <w:color w:val="000000"/>
        </w:rPr>
        <w:br/>
        <w:t>Всього 394</w:t>
      </w:r>
      <w:r>
        <w:rPr>
          <w:color w:val="000000"/>
        </w:rPr>
        <w:br/>
      </w:r>
      <w:r>
        <w:rPr>
          <w:color w:val="000000"/>
        </w:rPr>
        <w:br/>
        <w:t xml:space="preserve">20. УМОВНI ТА КОНТРАКТНI ЗОБОВ’ЯЗАННЯ </w:t>
      </w:r>
      <w:r>
        <w:rPr>
          <w:color w:val="000000"/>
        </w:rPr>
        <w:br/>
      </w:r>
      <w:r>
        <w:rPr>
          <w:color w:val="000000"/>
        </w:rPr>
        <w:br/>
        <w:t>Операцiйне середовище</w:t>
      </w:r>
      <w:r>
        <w:rPr>
          <w:color w:val="000000"/>
        </w:rPr>
        <w:br/>
        <w:t xml:space="preserve">Дiяльнiсть товариства та iнших пiдприємств України до теперiшнього часу зазнають та можуть </w:t>
      </w:r>
      <w:r>
        <w:rPr>
          <w:color w:val="000000"/>
        </w:rPr>
        <w:lastRenderedPageBreak/>
        <w:t>зазнавати у найближчому майбутньому впливу вiд полiтичної та економiчної невизн</w:t>
      </w:r>
      <w:r>
        <w:rPr>
          <w:color w:val="000000"/>
        </w:rPr>
        <w:t>аченостi, яка триває в Українi. Кiнцевий результат розвитку та наслiдки полiтичної та економiчної кризи важко спрогнозувати, однак вони можуть мати подальший серйозний негативний вплив на економiку України.</w:t>
      </w:r>
      <w:r>
        <w:rPr>
          <w:color w:val="000000"/>
        </w:rPr>
        <w:br/>
        <w:t>Управлiнський персонал вважає, що вiн вживає нале</w:t>
      </w:r>
      <w:r>
        <w:rPr>
          <w:color w:val="000000"/>
        </w:rPr>
        <w:t>жнi заходи на пiдтримку стабiльностi дiяльностi товариства, необхiднi за iснуючих обставин. Однак подальша нестабiльнiсть ситуацiї може спричинити негативний вплив на дiяльнiсть товариства, характер та наслiдки якого на поточний момент визначити неможливо.</w:t>
      </w:r>
      <w:r>
        <w:rPr>
          <w:color w:val="000000"/>
        </w:rPr>
        <w:t xml:space="preserve"> Майбутнi умови здiйснення дiяльностi можуть вiдрiзнятися вiд оцiнок управлiнського персоналу.</w:t>
      </w:r>
      <w:r>
        <w:rPr>
          <w:color w:val="000000"/>
        </w:rPr>
        <w:br/>
      </w:r>
      <w:r>
        <w:rPr>
          <w:color w:val="000000"/>
        </w:rPr>
        <w:br/>
        <w:t>Оподаткування</w:t>
      </w:r>
      <w:r>
        <w:rPr>
          <w:color w:val="000000"/>
        </w:rPr>
        <w:br/>
        <w:t>У результатi загальної нестабiльної економiчної ситуацiї в Українi податковi органи придiляють все бiльше уваги дiловим колам. У зв’язку з цим рег</w:t>
      </w:r>
      <w:r>
        <w:rPr>
          <w:color w:val="000000"/>
        </w:rPr>
        <w:t>iональне i загальнодержавне податкове законодавство України постiйно змiнюються. Крiм того, трапляються випадки їх непослiдовного застосування, тлумачення i виконання. Недотримання законiв та нормативних актiв України може призвести до накладення серйозних</w:t>
      </w:r>
      <w:r>
        <w:rPr>
          <w:color w:val="000000"/>
        </w:rPr>
        <w:t xml:space="preserve"> штрафiв i пенi. В результатi майбутнiх податкових перевiрок можуть бути виявленi додатковi зобов’язання, якi не будуть вiдповiдати податкової звiтностi товариства. Такими зобов'язаннями можуть бути власне податки, а також штрафи i пеня; та їх розмiри можу</w:t>
      </w:r>
      <w:r>
        <w:rPr>
          <w:color w:val="000000"/>
        </w:rPr>
        <w:t>ть бути iстотними. У той час як товариство вважає, що воно вiдобразило всi операцiї у вiдповiдностi з чинним податковим законодавством, iснує велика кiлькiсть податкових норм i норм валютного законодавства, в яких присутня достатня кiлькiсть спiрних момент</w:t>
      </w:r>
      <w:r>
        <w:rPr>
          <w:color w:val="000000"/>
        </w:rPr>
        <w:t>iв, якi не завжди чiтко i однозначно сформульованi.</w:t>
      </w:r>
      <w:r>
        <w:rPr>
          <w:color w:val="000000"/>
        </w:rPr>
        <w:br/>
      </w:r>
      <w:r>
        <w:rPr>
          <w:color w:val="000000"/>
        </w:rPr>
        <w:br/>
        <w:t>Юридичнi питання</w:t>
      </w:r>
      <w:r>
        <w:rPr>
          <w:color w:val="000000"/>
        </w:rPr>
        <w:br/>
        <w:t>В процесi звичайної дiяльностi товариство не залучене в судовi розгляди i до нього не висуваються iншi претензiї</w:t>
      </w:r>
      <w:r>
        <w:rPr>
          <w:color w:val="000000"/>
        </w:rPr>
        <w:br/>
        <w:t>21. УПРАВЛIННЯ РИЗИКАМИ</w:t>
      </w:r>
      <w:r>
        <w:rPr>
          <w:color w:val="000000"/>
        </w:rPr>
        <w:br/>
        <w:t>Товариство управляє своїм капiталом для забезпече</w:t>
      </w:r>
      <w:r>
        <w:rPr>
          <w:color w:val="000000"/>
        </w:rPr>
        <w:t xml:space="preserve">ння безперервної дiяльностi пiдприємства в майбутньому i одночасної максимiзацiї прибутку засновникiв за рахунок оптимiзацiї спiввiдношення позикових i власних коштiв. Керiвництво товариства регулярно переглядає структуру свого капiталу. </w:t>
      </w:r>
      <w:r>
        <w:rPr>
          <w:color w:val="000000"/>
        </w:rPr>
        <w:br/>
        <w:t>22. ПОДIЇ ПIСЛЯ З</w:t>
      </w:r>
      <w:r>
        <w:rPr>
          <w:color w:val="000000"/>
        </w:rPr>
        <w:t>ВIТНОЇ ДАТИ</w:t>
      </w:r>
      <w:r>
        <w:rPr>
          <w:color w:val="000000"/>
        </w:rPr>
        <w:br/>
        <w:t>Пiсля 31 грудня 2014 року до дати затвердження керiвництвом фiнансової звiтностi не вiдбувалося подiй, якi могли би вплинути на фiнансовий стан товариства.</w:t>
      </w:r>
    </w:p>
    <w:p w:rsidR="00EB1252" w:rsidRDefault="00EB1252">
      <w:pPr>
        <w:pStyle w:val="4"/>
        <w:rPr>
          <w:color w:val="000000"/>
        </w:rPr>
      </w:pPr>
      <w:r>
        <w:rPr>
          <w:color w:val="000000"/>
        </w:rPr>
        <w:t>Продовження тексту приміток</w:t>
      </w:r>
    </w:p>
    <w:sectPr w:rsidR="00EB1252">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A1"/>
    <w:rsid w:val="00493FA1"/>
    <w:rsid w:val="00EB1252"/>
    <w:rsid w:val="00F0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75B13F-C675-4001-80CF-3B9DFB1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8535">
      <w:marLeft w:val="0"/>
      <w:marRight w:val="0"/>
      <w:marTop w:val="0"/>
      <w:marBottom w:val="0"/>
      <w:divBdr>
        <w:top w:val="none" w:sz="0" w:space="0" w:color="auto"/>
        <w:left w:val="none" w:sz="0" w:space="0" w:color="auto"/>
        <w:bottom w:val="none" w:sz="0" w:space="0" w:color="auto"/>
        <w:right w:val="none" w:sz="0" w:space="0" w:color="auto"/>
      </w:divBdr>
    </w:div>
    <w:div w:id="583874808">
      <w:marLeft w:val="0"/>
      <w:marRight w:val="0"/>
      <w:marTop w:val="0"/>
      <w:marBottom w:val="0"/>
      <w:divBdr>
        <w:top w:val="none" w:sz="0" w:space="0" w:color="auto"/>
        <w:left w:val="none" w:sz="0" w:space="0" w:color="auto"/>
        <w:bottom w:val="none" w:sz="0" w:space="0" w:color="auto"/>
        <w:right w:val="none" w:sz="0" w:space="0" w:color="auto"/>
      </w:divBdr>
    </w:div>
    <w:div w:id="13767311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20160</Words>
  <Characters>114913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Сурин</dc:creator>
  <cp:keywords/>
  <dc:description/>
  <cp:lastModifiedBy>Анатолий Сурин</cp:lastModifiedBy>
  <cp:revision>2</cp:revision>
  <dcterms:created xsi:type="dcterms:W3CDTF">2015-04-30T15:05:00Z</dcterms:created>
  <dcterms:modified xsi:type="dcterms:W3CDTF">2015-04-30T15:05:00Z</dcterms:modified>
</cp:coreProperties>
</file>